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035267">
      <w:pPr>
        <w:adjustRightInd w:val="0"/>
        <w:snapToGrid w:val="0"/>
        <w:spacing w:line="440" w:lineRule="exact"/>
        <w:jc w:val="center"/>
        <w:rPr>
          <w:rFonts w:hint="eastAsia" w:ascii="宋体" w:hAnsi="宋体" w:cs="宋体"/>
          <w:b/>
          <w:bCs/>
          <w:color w:val="000000"/>
          <w:sz w:val="36"/>
          <w:szCs w:val="36"/>
          <w:lang w:eastAsia="zh-CN"/>
        </w:rPr>
      </w:pPr>
      <w:r>
        <w:rPr>
          <w:rFonts w:hint="eastAsia" w:ascii="宋体" w:hAnsi="宋体" w:eastAsia="宋体" w:cs="宋体"/>
          <w:b/>
          <w:bCs/>
          <w:color w:val="auto"/>
          <w:sz w:val="36"/>
          <w:szCs w:val="36"/>
          <w:lang w:val="en-US" w:eastAsia="zh-CN"/>
        </w:rPr>
        <w:t>西藏自治区</w:t>
      </w:r>
      <w:r>
        <w:rPr>
          <w:rFonts w:ascii="宋体" w:hAnsi="宋体" w:eastAsia="宋体" w:cs="宋体"/>
          <w:b/>
          <w:color w:val="auto"/>
          <w:sz w:val="36"/>
          <w:szCs w:val="36"/>
          <w:u w:color="auto"/>
        </w:rPr>
        <w:t>电动自行车锂离子电池</w:t>
      </w:r>
      <w:r>
        <w:rPr>
          <w:rFonts w:hint="eastAsia" w:ascii="宋体" w:hAnsi="宋体" w:eastAsia="宋体" w:cs="宋体"/>
          <w:b/>
          <w:bCs/>
          <w:color w:val="000000"/>
          <w:sz w:val="36"/>
          <w:szCs w:val="36"/>
        </w:rPr>
        <w:t>产品质量</w:t>
      </w:r>
      <w:r>
        <w:rPr>
          <w:rFonts w:hint="eastAsia" w:ascii="宋体" w:hAnsi="宋体" w:cs="宋体"/>
          <w:b/>
          <w:bCs/>
          <w:color w:val="000000"/>
          <w:sz w:val="36"/>
          <w:szCs w:val="36"/>
          <w:lang w:eastAsia="zh-CN"/>
        </w:rPr>
        <w:t>专项</w:t>
      </w:r>
    </w:p>
    <w:p w14:paraId="6D8C0563">
      <w:pPr>
        <w:adjustRightInd w:val="0"/>
        <w:snapToGrid w:val="0"/>
        <w:spacing w:line="440" w:lineRule="exact"/>
        <w:jc w:val="center"/>
        <w:rPr>
          <w:rFonts w:hint="eastAsia" w:ascii="宋体" w:hAnsi="宋体" w:eastAsia="宋体" w:cs="宋体"/>
          <w:b/>
          <w:bCs/>
          <w:color w:val="000000"/>
          <w:sz w:val="36"/>
          <w:szCs w:val="36"/>
        </w:rPr>
      </w:pPr>
      <w:r>
        <w:rPr>
          <w:rFonts w:hint="eastAsia" w:ascii="宋体" w:hAnsi="宋体" w:eastAsia="宋体" w:cs="宋体"/>
          <w:b/>
          <w:bCs/>
          <w:color w:val="000000"/>
          <w:sz w:val="36"/>
          <w:szCs w:val="36"/>
        </w:rPr>
        <w:t>监督抽查实施细则（202</w:t>
      </w:r>
      <w:r>
        <w:rPr>
          <w:rFonts w:hint="eastAsia" w:ascii="宋体" w:hAnsi="宋体" w:cs="宋体"/>
          <w:b/>
          <w:bCs/>
          <w:color w:val="000000"/>
          <w:sz w:val="36"/>
          <w:szCs w:val="36"/>
          <w:lang w:val="en-US" w:eastAsia="zh-CN"/>
        </w:rPr>
        <w:t>5</w:t>
      </w:r>
      <w:r>
        <w:rPr>
          <w:rFonts w:hint="eastAsia" w:ascii="宋体" w:hAnsi="宋体" w:eastAsia="宋体" w:cs="宋体"/>
          <w:b/>
          <w:bCs/>
          <w:color w:val="000000"/>
          <w:sz w:val="36"/>
          <w:szCs w:val="36"/>
        </w:rPr>
        <w:t>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31A86552">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186C3688">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14:paraId="77FA368E">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每种产品抽取样品数量见表1。</w:t>
      </w:r>
    </w:p>
    <w:p w14:paraId="3717A2E4">
      <w:pPr>
        <w:snapToGrid w:val="0"/>
        <w:spacing w:line="440" w:lineRule="exact"/>
        <w:jc w:val="center"/>
        <w:rPr>
          <w:rFonts w:hint="eastAsia" w:ascii="宋体" w:hAnsi="宋体"/>
          <w:color w:val="000000"/>
          <w:szCs w:val="21"/>
        </w:rPr>
      </w:pPr>
      <w:r>
        <w:rPr>
          <w:rFonts w:hint="eastAsia" w:ascii="宋体" w:hAnsi="宋体"/>
          <w:color w:val="000000"/>
          <w:szCs w:val="21"/>
        </w:rPr>
        <w:t>表1 抽样数量</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549"/>
        <w:gridCol w:w="3661"/>
        <w:gridCol w:w="1349"/>
        <w:gridCol w:w="1453"/>
        <w:gridCol w:w="1405"/>
      </w:tblGrid>
      <w:tr w14:paraId="6F2E6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9" w:hRule="atLeast"/>
          <w:jc w:val="center"/>
        </w:trPr>
        <w:tc>
          <w:tcPr>
            <w:tcW w:w="326" w:type="pct"/>
            <w:noWrap w:val="0"/>
            <w:vAlign w:val="center"/>
          </w:tcPr>
          <w:p w14:paraId="7F6E71C8">
            <w:pPr>
              <w:snapToGrid w:val="0"/>
              <w:spacing w:line="440" w:lineRule="exact"/>
              <w:jc w:val="center"/>
              <w:rPr>
                <w:rFonts w:hint="eastAsia"/>
                <w:color w:val="000000"/>
                <w:szCs w:val="21"/>
              </w:rPr>
            </w:pPr>
            <w:r>
              <w:rPr>
                <w:rFonts w:hint="eastAsia"/>
                <w:color w:val="000000"/>
                <w:szCs w:val="21"/>
              </w:rPr>
              <w:t>序号</w:t>
            </w:r>
          </w:p>
        </w:tc>
        <w:tc>
          <w:tcPr>
            <w:tcW w:w="2174" w:type="pct"/>
            <w:noWrap w:val="0"/>
            <w:vAlign w:val="center"/>
          </w:tcPr>
          <w:p w14:paraId="76A8BE8B">
            <w:pPr>
              <w:snapToGrid w:val="0"/>
              <w:spacing w:line="440" w:lineRule="exact"/>
              <w:jc w:val="center"/>
              <w:rPr>
                <w:rFonts w:hint="eastAsia"/>
                <w:color w:val="000000"/>
                <w:szCs w:val="21"/>
              </w:rPr>
            </w:pPr>
            <w:r>
              <w:rPr>
                <w:rFonts w:hint="eastAsia"/>
                <w:color w:val="000000"/>
                <w:szCs w:val="21"/>
              </w:rPr>
              <w:t>产品种类</w:t>
            </w:r>
          </w:p>
        </w:tc>
        <w:tc>
          <w:tcPr>
            <w:tcW w:w="801" w:type="pct"/>
            <w:noWrap w:val="0"/>
            <w:vAlign w:val="center"/>
          </w:tcPr>
          <w:p w14:paraId="3B98DC8A">
            <w:pPr>
              <w:snapToGrid w:val="0"/>
              <w:spacing w:line="440" w:lineRule="exact"/>
              <w:jc w:val="center"/>
              <w:rPr>
                <w:rFonts w:hint="eastAsia"/>
                <w:color w:val="000000"/>
                <w:szCs w:val="21"/>
              </w:rPr>
            </w:pPr>
            <w:r>
              <w:rPr>
                <w:rFonts w:hint="eastAsia"/>
                <w:color w:val="000000"/>
                <w:szCs w:val="21"/>
              </w:rPr>
              <w:t>抽样数量</w:t>
            </w:r>
          </w:p>
        </w:tc>
        <w:tc>
          <w:tcPr>
            <w:tcW w:w="863" w:type="pct"/>
            <w:noWrap w:val="0"/>
            <w:vAlign w:val="center"/>
          </w:tcPr>
          <w:p w14:paraId="09BE42EF">
            <w:pPr>
              <w:snapToGrid w:val="0"/>
              <w:spacing w:line="440" w:lineRule="exact"/>
              <w:jc w:val="center"/>
              <w:rPr>
                <w:rFonts w:hint="eastAsia"/>
                <w:color w:val="000000"/>
                <w:szCs w:val="21"/>
              </w:rPr>
            </w:pPr>
            <w:r>
              <w:rPr>
                <w:rFonts w:hint="eastAsia"/>
                <w:color w:val="000000"/>
                <w:szCs w:val="21"/>
              </w:rPr>
              <w:t>检验样品数量</w:t>
            </w:r>
          </w:p>
        </w:tc>
        <w:tc>
          <w:tcPr>
            <w:tcW w:w="834" w:type="pct"/>
            <w:noWrap w:val="0"/>
            <w:vAlign w:val="center"/>
          </w:tcPr>
          <w:p w14:paraId="3F9B7877">
            <w:pPr>
              <w:snapToGrid w:val="0"/>
              <w:spacing w:line="440" w:lineRule="exact"/>
              <w:jc w:val="center"/>
              <w:rPr>
                <w:rFonts w:hint="eastAsia"/>
                <w:color w:val="000000"/>
                <w:szCs w:val="21"/>
              </w:rPr>
            </w:pPr>
            <w:r>
              <w:rPr>
                <w:rFonts w:hint="eastAsia"/>
                <w:color w:val="000000"/>
                <w:szCs w:val="21"/>
              </w:rPr>
              <w:t>备用样品数量</w:t>
            </w:r>
          </w:p>
        </w:tc>
      </w:tr>
      <w:tr w14:paraId="0D739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6" w:hRule="atLeast"/>
          <w:jc w:val="center"/>
        </w:trPr>
        <w:tc>
          <w:tcPr>
            <w:tcW w:w="326" w:type="pct"/>
            <w:noWrap w:val="0"/>
            <w:vAlign w:val="center"/>
          </w:tcPr>
          <w:p w14:paraId="47E12F2A">
            <w:pPr>
              <w:snapToGrid w:val="0"/>
              <w:jc w:val="center"/>
              <w:rPr>
                <w:rFonts w:hint="eastAsia"/>
                <w:color w:val="000000"/>
                <w:szCs w:val="21"/>
              </w:rPr>
            </w:pPr>
            <w:r>
              <w:rPr>
                <w:rFonts w:hint="eastAsia"/>
                <w:color w:val="000000"/>
                <w:szCs w:val="21"/>
                <w:vertAlign w:val="baseline"/>
                <w:lang w:val="en-US" w:eastAsia="zh-CN"/>
              </w:rPr>
              <w:t>1</w:t>
            </w:r>
          </w:p>
        </w:tc>
        <w:tc>
          <w:tcPr>
            <w:tcW w:w="2174" w:type="pct"/>
            <w:noWrap w:val="0"/>
            <w:vAlign w:val="center"/>
          </w:tcPr>
          <w:p w14:paraId="590643DF">
            <w:pPr>
              <w:snapToGrid w:val="0"/>
              <w:jc w:val="center"/>
              <w:rPr>
                <w:rFonts w:hint="eastAsia"/>
                <w:color w:val="000000"/>
                <w:szCs w:val="21"/>
              </w:rPr>
            </w:pPr>
            <w:r>
              <w:rPr>
                <w:rFonts w:hint="eastAsia"/>
                <w:color w:val="000000"/>
                <w:szCs w:val="21"/>
                <w:vertAlign w:val="baseline"/>
                <w:lang w:val="en-US" w:eastAsia="zh-CN"/>
              </w:rPr>
              <w:t>电动自行车用锂离子蓄电池(GB/T 36972-2018）</w:t>
            </w:r>
          </w:p>
        </w:tc>
        <w:tc>
          <w:tcPr>
            <w:tcW w:w="801" w:type="pct"/>
            <w:noWrap w:val="0"/>
            <w:vAlign w:val="center"/>
          </w:tcPr>
          <w:p w14:paraId="6E0491E8">
            <w:pPr>
              <w:snapToGrid w:val="0"/>
              <w:jc w:val="center"/>
              <w:rPr>
                <w:rFonts w:hint="eastAsia"/>
                <w:color w:val="000000"/>
                <w:szCs w:val="21"/>
              </w:rPr>
            </w:pPr>
            <w:r>
              <w:rPr>
                <w:rFonts w:hint="eastAsia"/>
                <w:color w:val="000000"/>
                <w:szCs w:val="21"/>
                <w:vertAlign w:val="baseline"/>
                <w:lang w:val="en-US" w:eastAsia="zh-CN"/>
              </w:rPr>
              <w:t>4组</w:t>
            </w:r>
          </w:p>
        </w:tc>
        <w:tc>
          <w:tcPr>
            <w:tcW w:w="863" w:type="pct"/>
            <w:noWrap w:val="0"/>
            <w:vAlign w:val="center"/>
          </w:tcPr>
          <w:p w14:paraId="2E4D052D">
            <w:pPr>
              <w:snapToGrid w:val="0"/>
              <w:jc w:val="center"/>
              <w:rPr>
                <w:rFonts w:hint="eastAsia"/>
                <w:color w:val="000000"/>
                <w:szCs w:val="21"/>
              </w:rPr>
            </w:pPr>
            <w:r>
              <w:rPr>
                <w:rFonts w:hint="eastAsia"/>
                <w:color w:val="000000"/>
                <w:szCs w:val="21"/>
                <w:vertAlign w:val="baseline"/>
                <w:lang w:val="en-US" w:eastAsia="zh-CN"/>
              </w:rPr>
              <w:t>2组</w:t>
            </w:r>
          </w:p>
        </w:tc>
        <w:tc>
          <w:tcPr>
            <w:tcW w:w="834" w:type="pct"/>
            <w:noWrap w:val="0"/>
            <w:vAlign w:val="center"/>
          </w:tcPr>
          <w:p w14:paraId="10561191">
            <w:pPr>
              <w:snapToGrid w:val="0"/>
              <w:jc w:val="center"/>
              <w:rPr>
                <w:rFonts w:hint="eastAsia"/>
                <w:color w:val="000000"/>
                <w:szCs w:val="21"/>
              </w:rPr>
            </w:pPr>
            <w:r>
              <w:rPr>
                <w:rFonts w:hint="eastAsia"/>
                <w:color w:val="000000"/>
                <w:szCs w:val="21"/>
                <w:vertAlign w:val="baseline"/>
                <w:lang w:val="en-US" w:eastAsia="zh-CN"/>
              </w:rPr>
              <w:t>2组</w:t>
            </w:r>
          </w:p>
        </w:tc>
      </w:tr>
      <w:tr w14:paraId="1A02C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6" w:hRule="atLeast"/>
          <w:jc w:val="center"/>
        </w:trPr>
        <w:tc>
          <w:tcPr>
            <w:tcW w:w="326" w:type="pct"/>
            <w:noWrap w:val="0"/>
            <w:vAlign w:val="center"/>
          </w:tcPr>
          <w:p w14:paraId="2B423F70">
            <w:pPr>
              <w:snapToGrid w:val="0"/>
              <w:jc w:val="center"/>
              <w:rPr>
                <w:rFonts w:hint="eastAsia"/>
                <w:color w:val="000000"/>
                <w:szCs w:val="21"/>
              </w:rPr>
            </w:pPr>
            <w:r>
              <w:rPr>
                <w:rFonts w:hint="eastAsia"/>
                <w:color w:val="000000"/>
                <w:szCs w:val="21"/>
                <w:vertAlign w:val="baseline"/>
                <w:lang w:val="en-US" w:eastAsia="zh-CN"/>
              </w:rPr>
              <w:t>2</w:t>
            </w:r>
          </w:p>
        </w:tc>
        <w:tc>
          <w:tcPr>
            <w:tcW w:w="2174" w:type="pct"/>
            <w:noWrap w:val="0"/>
            <w:vAlign w:val="center"/>
          </w:tcPr>
          <w:p w14:paraId="63FBA11C">
            <w:pPr>
              <w:snapToGrid w:val="0"/>
              <w:jc w:val="center"/>
              <w:rPr>
                <w:rFonts w:hint="eastAsia"/>
                <w:color w:val="000000"/>
                <w:szCs w:val="21"/>
              </w:rPr>
            </w:pPr>
            <w:r>
              <w:rPr>
                <w:rFonts w:hint="eastAsia"/>
                <w:color w:val="000000"/>
                <w:szCs w:val="21"/>
                <w:vertAlign w:val="baseline"/>
                <w:lang w:val="en-US" w:eastAsia="zh-CN"/>
              </w:rPr>
              <w:t>电动自行车用锂离子蓄电池(QB/T 2947.3-2008)</w:t>
            </w:r>
          </w:p>
        </w:tc>
        <w:tc>
          <w:tcPr>
            <w:tcW w:w="801" w:type="pct"/>
            <w:noWrap w:val="0"/>
            <w:vAlign w:val="center"/>
          </w:tcPr>
          <w:p w14:paraId="09870732">
            <w:pPr>
              <w:snapToGrid w:val="0"/>
              <w:jc w:val="center"/>
              <w:rPr>
                <w:rFonts w:hint="eastAsia"/>
                <w:color w:val="000000"/>
                <w:szCs w:val="21"/>
              </w:rPr>
            </w:pPr>
            <w:r>
              <w:rPr>
                <w:rFonts w:hint="eastAsia"/>
                <w:color w:val="000000"/>
                <w:szCs w:val="21"/>
                <w:vertAlign w:val="baseline"/>
                <w:lang w:val="en-US" w:eastAsia="zh-CN"/>
              </w:rPr>
              <w:t>6组</w:t>
            </w:r>
          </w:p>
        </w:tc>
        <w:tc>
          <w:tcPr>
            <w:tcW w:w="863" w:type="pct"/>
            <w:noWrap w:val="0"/>
            <w:vAlign w:val="center"/>
          </w:tcPr>
          <w:p w14:paraId="32479553">
            <w:pPr>
              <w:snapToGrid w:val="0"/>
              <w:jc w:val="center"/>
              <w:rPr>
                <w:rFonts w:hint="eastAsia"/>
                <w:color w:val="000000"/>
                <w:szCs w:val="21"/>
              </w:rPr>
            </w:pPr>
            <w:r>
              <w:rPr>
                <w:rFonts w:hint="eastAsia"/>
                <w:color w:val="000000"/>
                <w:szCs w:val="21"/>
                <w:vertAlign w:val="baseline"/>
                <w:lang w:val="en-US" w:eastAsia="zh-CN"/>
              </w:rPr>
              <w:t>4组</w:t>
            </w:r>
          </w:p>
        </w:tc>
        <w:tc>
          <w:tcPr>
            <w:tcW w:w="834" w:type="pct"/>
            <w:noWrap w:val="0"/>
            <w:vAlign w:val="center"/>
          </w:tcPr>
          <w:p w14:paraId="1E3D123A">
            <w:pPr>
              <w:snapToGrid w:val="0"/>
              <w:jc w:val="center"/>
              <w:rPr>
                <w:rFonts w:hint="eastAsia"/>
                <w:color w:val="000000"/>
                <w:szCs w:val="21"/>
              </w:rPr>
            </w:pPr>
            <w:r>
              <w:rPr>
                <w:rFonts w:hint="eastAsia"/>
                <w:color w:val="000000"/>
                <w:szCs w:val="21"/>
                <w:vertAlign w:val="baseline"/>
                <w:lang w:val="en-US" w:eastAsia="zh-CN"/>
              </w:rPr>
              <w:t>2组</w:t>
            </w:r>
          </w:p>
        </w:tc>
      </w:tr>
      <w:tr w14:paraId="04C39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6" w:hRule="atLeast"/>
          <w:jc w:val="center"/>
        </w:trPr>
        <w:tc>
          <w:tcPr>
            <w:tcW w:w="326" w:type="pct"/>
            <w:noWrap w:val="0"/>
            <w:vAlign w:val="center"/>
          </w:tcPr>
          <w:p w14:paraId="34B6AB81">
            <w:pPr>
              <w:snapToGrid w:val="0"/>
              <w:jc w:val="center"/>
              <w:rPr>
                <w:rFonts w:hint="eastAsia"/>
                <w:color w:val="000000"/>
                <w:szCs w:val="21"/>
              </w:rPr>
            </w:pPr>
            <w:r>
              <w:rPr>
                <w:rFonts w:hint="eastAsia"/>
                <w:color w:val="000000"/>
                <w:szCs w:val="21"/>
                <w:vertAlign w:val="baseline"/>
                <w:lang w:val="en-US" w:eastAsia="zh-CN"/>
              </w:rPr>
              <w:t>3</w:t>
            </w:r>
          </w:p>
        </w:tc>
        <w:tc>
          <w:tcPr>
            <w:tcW w:w="2174" w:type="pct"/>
            <w:noWrap w:val="0"/>
            <w:vAlign w:val="center"/>
          </w:tcPr>
          <w:p w14:paraId="6E87AA93">
            <w:pPr>
              <w:snapToGrid w:val="0"/>
              <w:jc w:val="center"/>
              <w:rPr>
                <w:rFonts w:hint="eastAsia"/>
                <w:color w:val="000000"/>
                <w:szCs w:val="21"/>
              </w:rPr>
            </w:pPr>
            <w:r>
              <w:rPr>
                <w:rFonts w:hint="eastAsia"/>
                <w:color w:val="000000"/>
                <w:szCs w:val="21"/>
                <w:vertAlign w:val="baseline"/>
                <w:lang w:val="en-US" w:eastAsia="zh-CN"/>
              </w:rPr>
              <w:t>电动自行车用锂离子蓄电池组(GB 43854-2024)</w:t>
            </w:r>
          </w:p>
        </w:tc>
        <w:tc>
          <w:tcPr>
            <w:tcW w:w="801" w:type="pct"/>
            <w:noWrap w:val="0"/>
            <w:vAlign w:val="center"/>
          </w:tcPr>
          <w:p w14:paraId="5E7EF383">
            <w:pPr>
              <w:snapToGrid w:val="0"/>
              <w:jc w:val="center"/>
              <w:rPr>
                <w:rFonts w:hint="eastAsia"/>
                <w:color w:val="000000"/>
                <w:szCs w:val="21"/>
              </w:rPr>
            </w:pPr>
            <w:r>
              <w:rPr>
                <w:rFonts w:hint="eastAsia"/>
                <w:color w:val="000000"/>
                <w:szCs w:val="21"/>
                <w:vertAlign w:val="baseline"/>
                <w:lang w:val="en-US" w:eastAsia="zh-CN"/>
              </w:rPr>
              <w:t>2组</w:t>
            </w:r>
          </w:p>
        </w:tc>
        <w:tc>
          <w:tcPr>
            <w:tcW w:w="863" w:type="pct"/>
            <w:noWrap w:val="0"/>
            <w:vAlign w:val="center"/>
          </w:tcPr>
          <w:p w14:paraId="5FC732DE">
            <w:pPr>
              <w:snapToGrid w:val="0"/>
              <w:jc w:val="center"/>
              <w:rPr>
                <w:rFonts w:hint="eastAsia"/>
                <w:color w:val="000000"/>
                <w:szCs w:val="21"/>
              </w:rPr>
            </w:pPr>
            <w:r>
              <w:rPr>
                <w:rFonts w:hint="eastAsia"/>
                <w:color w:val="000000"/>
                <w:szCs w:val="21"/>
                <w:vertAlign w:val="baseline"/>
                <w:lang w:val="en-US" w:eastAsia="zh-CN"/>
              </w:rPr>
              <w:t>1组</w:t>
            </w:r>
          </w:p>
        </w:tc>
        <w:tc>
          <w:tcPr>
            <w:tcW w:w="834" w:type="pct"/>
            <w:noWrap w:val="0"/>
            <w:vAlign w:val="center"/>
          </w:tcPr>
          <w:p w14:paraId="363EEA60">
            <w:pPr>
              <w:snapToGrid w:val="0"/>
              <w:jc w:val="center"/>
              <w:rPr>
                <w:rFonts w:hint="eastAsia"/>
                <w:color w:val="000000"/>
                <w:szCs w:val="21"/>
              </w:rPr>
            </w:pPr>
            <w:r>
              <w:rPr>
                <w:rFonts w:hint="eastAsia"/>
                <w:color w:val="000000"/>
                <w:szCs w:val="21"/>
                <w:vertAlign w:val="baseline"/>
                <w:lang w:val="en-US" w:eastAsia="zh-CN"/>
              </w:rPr>
              <w:t>1组</w:t>
            </w:r>
          </w:p>
        </w:tc>
      </w:tr>
    </w:tbl>
    <w:p w14:paraId="1EB57928">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p w14:paraId="1A0A5DE6">
      <w:pPr>
        <w:tabs>
          <w:tab w:val="left" w:pos="1701"/>
          <w:tab w:val="left" w:pos="2268"/>
        </w:tabs>
        <w:snapToGrid w:val="0"/>
        <w:spacing w:line="440" w:lineRule="exact"/>
        <w:jc w:val="center"/>
        <w:rPr>
          <w:rFonts w:hint="default" w:eastAsia="宋体"/>
          <w:color w:val="000000"/>
          <w:szCs w:val="21"/>
          <w:lang w:val="en-US" w:eastAsia="zh-CN"/>
        </w:rPr>
      </w:pPr>
      <w:r>
        <w:rPr>
          <w:rFonts w:hint="eastAsia" w:ascii="宋体" w:hAnsi="宋体"/>
          <w:color w:val="000000"/>
          <w:szCs w:val="21"/>
        </w:rPr>
        <w:t>表2</w:t>
      </w:r>
      <w:r>
        <w:rPr>
          <w:rFonts w:hint="eastAsia"/>
          <w:color w:val="000000"/>
          <w:szCs w:val="21"/>
          <w:vertAlign w:val="baseline"/>
          <w:lang w:val="en-US" w:eastAsia="zh-CN"/>
        </w:rPr>
        <w:t>电动自行车用锂离子蓄电池(GB/T 36972-2018）</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I2(A)放电</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36972-2018</w:t>
            </w:r>
          </w:p>
        </w:tc>
      </w:tr>
      <w:tr w14:paraId="3EB5C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BB1549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4BFF735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低温放电</w:t>
            </w:r>
          </w:p>
        </w:tc>
        <w:tc>
          <w:tcPr>
            <w:tcW w:w="3473" w:type="dxa"/>
            <w:vAlign w:val="center"/>
          </w:tcPr>
          <w:p w14:paraId="7D1CD6C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36972-2018</w:t>
            </w:r>
          </w:p>
        </w:tc>
      </w:tr>
      <w:tr w14:paraId="63343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E58D96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0990ADA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过充电</w:t>
            </w:r>
          </w:p>
        </w:tc>
        <w:tc>
          <w:tcPr>
            <w:tcW w:w="3473" w:type="dxa"/>
            <w:vAlign w:val="center"/>
          </w:tcPr>
          <w:p w14:paraId="2CE020E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36972-2018</w:t>
            </w:r>
          </w:p>
        </w:tc>
      </w:tr>
      <w:tr w14:paraId="50A94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289985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7A58D40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过充电保护</w:t>
            </w:r>
          </w:p>
        </w:tc>
        <w:tc>
          <w:tcPr>
            <w:tcW w:w="3473" w:type="dxa"/>
            <w:vAlign w:val="center"/>
          </w:tcPr>
          <w:p w14:paraId="41055F7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36972-2018</w:t>
            </w:r>
          </w:p>
        </w:tc>
      </w:tr>
      <w:tr w14:paraId="313DC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863D86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4630DDF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过放电保护</w:t>
            </w:r>
          </w:p>
        </w:tc>
        <w:tc>
          <w:tcPr>
            <w:tcW w:w="3473" w:type="dxa"/>
            <w:vAlign w:val="center"/>
          </w:tcPr>
          <w:p w14:paraId="26B2C42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36972-2018</w:t>
            </w:r>
          </w:p>
        </w:tc>
      </w:tr>
      <w:tr w14:paraId="059FB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F69BE7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7848BD7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短路保护</w:t>
            </w:r>
          </w:p>
        </w:tc>
        <w:tc>
          <w:tcPr>
            <w:tcW w:w="3473" w:type="dxa"/>
            <w:vAlign w:val="center"/>
          </w:tcPr>
          <w:p w14:paraId="3A57805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36972-2018</w:t>
            </w:r>
          </w:p>
        </w:tc>
      </w:tr>
      <w:tr w14:paraId="4CB60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6B74BE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2BAFADC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放电过流保护</w:t>
            </w:r>
          </w:p>
        </w:tc>
        <w:tc>
          <w:tcPr>
            <w:tcW w:w="3473" w:type="dxa"/>
            <w:vAlign w:val="center"/>
          </w:tcPr>
          <w:p w14:paraId="4B442E0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36972-2018</w:t>
            </w:r>
          </w:p>
        </w:tc>
      </w:tr>
      <w:tr w14:paraId="66251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F69F8E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09FD909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壳体阻燃性</w:t>
            </w:r>
          </w:p>
        </w:tc>
        <w:tc>
          <w:tcPr>
            <w:tcW w:w="3473" w:type="dxa"/>
            <w:vAlign w:val="center"/>
          </w:tcPr>
          <w:p w14:paraId="3573559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5169.16-2017</w:t>
            </w:r>
          </w:p>
        </w:tc>
      </w:tr>
    </w:tbl>
    <w:p w14:paraId="20974650">
      <w:pPr>
        <w:snapToGrid w:val="0"/>
        <w:spacing w:line="440" w:lineRule="exact"/>
        <w:jc w:val="both"/>
        <w:rPr>
          <w:rFonts w:hint="default" w:eastAsia="宋体"/>
          <w:color w:val="000000"/>
          <w:szCs w:val="21"/>
          <w:lang w:val="en-US" w:eastAsia="zh-CN"/>
        </w:rPr>
      </w:pPr>
    </w:p>
    <w:p w14:paraId="6DA1283C">
      <w:pPr>
        <w:tabs>
          <w:tab w:val="left" w:pos="1701"/>
          <w:tab w:val="left" w:pos="2268"/>
        </w:tabs>
        <w:snapToGrid w:val="0"/>
        <w:spacing w:line="440" w:lineRule="exact"/>
        <w:jc w:val="center"/>
        <w:rPr>
          <w:rFonts w:eastAsia="黑体"/>
          <w:color w:val="000000"/>
          <w:szCs w:val="21"/>
        </w:rPr>
      </w:pPr>
      <w:r>
        <w:rPr>
          <w:rFonts w:hint="eastAsia" w:ascii="宋体" w:hAnsi="宋体"/>
          <w:color w:val="000000"/>
          <w:szCs w:val="21"/>
        </w:rPr>
        <w:t>表</w:t>
      </w:r>
      <w:r>
        <w:rPr>
          <w:rFonts w:hint="eastAsia" w:ascii="宋体" w:hAnsi="宋体"/>
          <w:color w:val="000000"/>
          <w:szCs w:val="21"/>
          <w:lang w:val="en-US" w:eastAsia="zh-CN"/>
        </w:rPr>
        <w:t>3</w:t>
      </w:r>
      <w:r>
        <w:rPr>
          <w:rFonts w:hint="eastAsia"/>
          <w:color w:val="000000"/>
          <w:szCs w:val="21"/>
          <w:vertAlign w:val="baseline"/>
          <w:lang w:val="en-US" w:eastAsia="zh-CN"/>
        </w:rPr>
        <w:t>电动自行车用锂离子蓄电池(QB/T 2947.3-2008)</w:t>
      </w:r>
      <w:bookmarkStart w:id="0" w:name="_GoBack"/>
      <w:bookmarkEnd w:id="0"/>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38F8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38C7B36">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325DF0FE">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5C74AB4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7B1D3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405962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4AC528A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常温容量</w:t>
            </w:r>
          </w:p>
        </w:tc>
        <w:tc>
          <w:tcPr>
            <w:tcW w:w="3473" w:type="dxa"/>
            <w:vAlign w:val="center"/>
          </w:tcPr>
          <w:p w14:paraId="54AECD3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2947.3-2008</w:t>
            </w:r>
          </w:p>
        </w:tc>
      </w:tr>
      <w:tr w14:paraId="22E26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549E39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0C23A4D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I2(A)放电容量</w:t>
            </w:r>
          </w:p>
        </w:tc>
        <w:tc>
          <w:tcPr>
            <w:tcW w:w="3473" w:type="dxa"/>
            <w:vAlign w:val="center"/>
          </w:tcPr>
          <w:p w14:paraId="0861FBA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2947.3-2008</w:t>
            </w:r>
          </w:p>
        </w:tc>
      </w:tr>
      <w:tr w14:paraId="633DF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503FB7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73C10BF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低温（-10℃) 容量</w:t>
            </w:r>
          </w:p>
        </w:tc>
        <w:tc>
          <w:tcPr>
            <w:tcW w:w="3473" w:type="dxa"/>
            <w:vAlign w:val="center"/>
          </w:tcPr>
          <w:p w14:paraId="6E8ED09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2947.3-2008</w:t>
            </w:r>
          </w:p>
        </w:tc>
      </w:tr>
      <w:tr w14:paraId="2EE0F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38BF22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2037D15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短路</w:t>
            </w:r>
          </w:p>
        </w:tc>
        <w:tc>
          <w:tcPr>
            <w:tcW w:w="3473" w:type="dxa"/>
            <w:vAlign w:val="center"/>
          </w:tcPr>
          <w:p w14:paraId="7318826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2947.3-2008</w:t>
            </w:r>
          </w:p>
        </w:tc>
      </w:tr>
      <w:tr w14:paraId="4F234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4A2784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3E21C1E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过充电</w:t>
            </w:r>
          </w:p>
        </w:tc>
        <w:tc>
          <w:tcPr>
            <w:tcW w:w="3473" w:type="dxa"/>
            <w:vAlign w:val="center"/>
          </w:tcPr>
          <w:p w14:paraId="0010528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2947.3-2008</w:t>
            </w:r>
          </w:p>
        </w:tc>
      </w:tr>
      <w:tr w14:paraId="572C4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9F5E5C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2D1A0DC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过放电</w:t>
            </w:r>
          </w:p>
        </w:tc>
        <w:tc>
          <w:tcPr>
            <w:tcW w:w="3473" w:type="dxa"/>
            <w:vAlign w:val="center"/>
          </w:tcPr>
          <w:p w14:paraId="5FD600F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2947.3-2008</w:t>
            </w:r>
          </w:p>
        </w:tc>
      </w:tr>
    </w:tbl>
    <w:p w14:paraId="1C6C164A">
      <w:pPr>
        <w:snapToGrid w:val="0"/>
        <w:spacing w:line="440" w:lineRule="exact"/>
        <w:ind w:firstLine="420" w:firstLineChars="200"/>
        <w:rPr>
          <w:color w:val="000000"/>
          <w:szCs w:val="21"/>
        </w:rPr>
      </w:pPr>
    </w:p>
    <w:p w14:paraId="1FFCF7FA">
      <w:pPr>
        <w:tabs>
          <w:tab w:val="left" w:pos="1701"/>
          <w:tab w:val="left" w:pos="2268"/>
        </w:tabs>
        <w:snapToGrid w:val="0"/>
        <w:spacing w:line="440" w:lineRule="exact"/>
        <w:jc w:val="center"/>
        <w:rPr>
          <w:rFonts w:eastAsia="黑体"/>
          <w:color w:val="000000"/>
          <w:szCs w:val="21"/>
        </w:rPr>
      </w:pPr>
      <w:r>
        <w:rPr>
          <w:rFonts w:hint="eastAsia" w:ascii="宋体" w:hAnsi="宋体"/>
          <w:color w:val="000000"/>
          <w:szCs w:val="21"/>
        </w:rPr>
        <w:t>表</w:t>
      </w:r>
      <w:r>
        <w:rPr>
          <w:rFonts w:hint="eastAsia" w:ascii="宋体" w:hAnsi="宋体"/>
          <w:color w:val="000000"/>
          <w:szCs w:val="21"/>
          <w:lang w:val="en-US" w:eastAsia="zh-CN"/>
        </w:rPr>
        <w:t>4</w:t>
      </w:r>
      <w:r>
        <w:rPr>
          <w:rFonts w:hint="eastAsia"/>
          <w:color w:val="000000"/>
          <w:szCs w:val="21"/>
        </w:rPr>
        <w:t xml:space="preserve"> </w:t>
      </w:r>
      <w:r>
        <w:rPr>
          <w:rFonts w:hint="eastAsia"/>
          <w:color w:val="000000"/>
          <w:szCs w:val="21"/>
          <w:vertAlign w:val="baseline"/>
          <w:lang w:val="en-US" w:eastAsia="zh-CN"/>
        </w:rPr>
        <w:t>电动自行车用锂离子蓄电池组(GB 43854-2024)</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233EB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AA8FD1F">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4A2F5B3">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5D156E77">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2585D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96F38D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53BC655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电池组静电放电</w:t>
            </w:r>
          </w:p>
        </w:tc>
        <w:tc>
          <w:tcPr>
            <w:tcW w:w="3473" w:type="dxa"/>
            <w:vAlign w:val="center"/>
          </w:tcPr>
          <w:p w14:paraId="5845C821">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43854-2024</w:t>
            </w:r>
          </w:p>
          <w:p w14:paraId="2DCDDD46">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17626.2-2018</w:t>
            </w:r>
          </w:p>
        </w:tc>
      </w:tr>
      <w:tr w14:paraId="72B77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01E7A9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71DDDF6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电池组过充电</w:t>
            </w:r>
          </w:p>
        </w:tc>
        <w:tc>
          <w:tcPr>
            <w:tcW w:w="3473" w:type="dxa"/>
            <w:vAlign w:val="center"/>
          </w:tcPr>
          <w:p w14:paraId="6651E26B">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43854-2024</w:t>
            </w:r>
          </w:p>
        </w:tc>
      </w:tr>
      <w:tr w14:paraId="547AF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8A5726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65658CD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电池组过放电</w:t>
            </w:r>
          </w:p>
        </w:tc>
        <w:tc>
          <w:tcPr>
            <w:tcW w:w="3473" w:type="dxa"/>
            <w:vAlign w:val="center"/>
          </w:tcPr>
          <w:p w14:paraId="669CF26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43854-2024</w:t>
            </w:r>
          </w:p>
        </w:tc>
      </w:tr>
      <w:tr w14:paraId="7BBCE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C88BCB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22765EF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电池组标志</w:t>
            </w:r>
          </w:p>
        </w:tc>
        <w:tc>
          <w:tcPr>
            <w:tcW w:w="3473" w:type="dxa"/>
            <w:vAlign w:val="center"/>
          </w:tcPr>
          <w:p w14:paraId="0EE3457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43854-2024</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36972-2018 电动自行车用锂离子蓄电池</w:t>
      </w:r>
    </w:p>
    <w:p w14:paraId="4F4FBD9F">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QB/T 2947.3-2008 电动自行车用蓄电池及充电器 第 3 部分：锂离子蓄电池及充电器</w:t>
      </w:r>
    </w:p>
    <w:p w14:paraId="5F94937D">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43854-2024 电动自行车用锂离子蓄电池</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altName w:val="MT Extra"/>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SimSun-ExtB"/>
    <w:panose1 w:val="02010609060101010101"/>
    <w:charset w:val="86"/>
    <w:family w:val="auto"/>
    <w:pitch w:val="default"/>
    <w:sig w:usb0="800002BF" w:usb1="38CF7CFA" w:usb2="00000016" w:usb3="00000000" w:csb0="00040001" w:csb1="00000000"/>
    <w:embedRegular r:id="rId1" w:fontKey="{A64D9596-5E4A-4EBB-8392-E0D9AB862E9E}"/>
  </w:font>
  <w:font w:name="Courier New">
    <w:panose1 w:val="02070309020205020404"/>
    <w:charset w:val="01"/>
    <w:family w:val="modern"/>
    <w:pitch w:val="default"/>
    <w:sig w:usb0="E0002AFF" w:usb1="C0007843" w:usb2="00000009" w:usb3="00000000" w:csb0="400001FF" w:csb1="FFFF0000"/>
  </w:font>
  <w:font w:name="Symbol">
    <w:altName w:val="Kingsoft 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00000001" w:usb1="08000000" w:usb2="00000000" w:usb3="00000000" w:csb0="00040000" w:csb1="00000000"/>
    <w:embedRegular r:id="rId2" w:fontKey="{66F5CB7B-AD35-474C-A916-7A0D517D398D}"/>
  </w:font>
  <w:font w:name="SimSun-ExtB">
    <w:panose1 w:val="02010609060101010101"/>
    <w:charset w:val="86"/>
    <w:family w:val="auto"/>
    <w:pitch w:val="default"/>
    <w:sig w:usb0="00000001" w:usb1="02000000" w:usb2="00000000" w:usb3="00000000" w:csb0="00040001" w:csb1="00000000"/>
  </w:font>
  <w:font w:name="MT Extra">
    <w:panose1 w:val="05050102010205020202"/>
    <w:charset w:val="00"/>
    <w:family w:val="auto"/>
    <w:pitch w:val="default"/>
    <w:sig w:usb0="80000000" w:usb1="00000000" w:usb2="00000000" w:usb3="00000000" w:csb0="00000000" w:csb1="00000000"/>
  </w:font>
  <w:font w:name="Kingsoft Symbol">
    <w:panose1 w:val="05000100010000000000"/>
    <w:charset w:val="00"/>
    <w:family w:val="auto"/>
    <w:pitch w:val="default"/>
    <w:sig w:usb0="00000000" w:usb1="00000000" w:usb2="00000000" w:usb3="00000000" w:csb0="80000000" w:csb1="00000000"/>
  </w:font>
  <w:font w:name="Segoe UI">
    <w:panose1 w:val="020B0502040204020203"/>
    <w:charset w:val="00"/>
    <w:family w:val="auto"/>
    <w:pitch w:val="default"/>
    <w:sig w:usb0="E10022FF" w:usb1="C000E47F" w:usb2="00000029" w:usb3="00000000" w:csb0="200001DF" w:csb1="2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jY2VhNTRkY2EwZjY0NjllYjU4NjQ0ZjI3YjZmYzYifQ=="/>
  </w:docVars>
  <w:rsids>
    <w:rsidRoot w:val="00000000"/>
    <w:rsid w:val="00280289"/>
    <w:rsid w:val="04333FF8"/>
    <w:rsid w:val="0D19796D"/>
    <w:rsid w:val="1B403722"/>
    <w:rsid w:val="1BBE4697"/>
    <w:rsid w:val="1CF163A7"/>
    <w:rsid w:val="21EE1107"/>
    <w:rsid w:val="25DF3AF4"/>
    <w:rsid w:val="27701672"/>
    <w:rsid w:val="29EE3C92"/>
    <w:rsid w:val="2ACD3FAF"/>
    <w:rsid w:val="2AFF7B61"/>
    <w:rsid w:val="369B4675"/>
    <w:rsid w:val="3AA82343"/>
    <w:rsid w:val="3C9E39FD"/>
    <w:rsid w:val="3D5D6F14"/>
    <w:rsid w:val="3DEF40D3"/>
    <w:rsid w:val="3EF42328"/>
    <w:rsid w:val="44937F9B"/>
    <w:rsid w:val="4721404E"/>
    <w:rsid w:val="507908EE"/>
    <w:rsid w:val="522E2F34"/>
    <w:rsid w:val="530F7A0D"/>
    <w:rsid w:val="55203C97"/>
    <w:rsid w:val="5551190C"/>
    <w:rsid w:val="5A567682"/>
    <w:rsid w:val="5C0748DB"/>
    <w:rsid w:val="5E4E4E2C"/>
    <w:rsid w:val="5EA66A16"/>
    <w:rsid w:val="625C73EB"/>
    <w:rsid w:val="650669CB"/>
    <w:rsid w:val="660364FC"/>
    <w:rsid w:val="684A6664"/>
    <w:rsid w:val="6A7E6BAB"/>
    <w:rsid w:val="6A811342"/>
    <w:rsid w:val="6B8D6C10"/>
    <w:rsid w:val="6DA7451F"/>
    <w:rsid w:val="6F3F1B91"/>
    <w:rsid w:val="702B4DF4"/>
    <w:rsid w:val="72321ACB"/>
    <w:rsid w:val="75B01AD0"/>
    <w:rsid w:val="75EC6D93"/>
    <w:rsid w:val="78547D9F"/>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902</Words>
  <Characters>1264</Characters>
  <Lines>0</Lines>
  <Paragraphs>0</Paragraphs>
  <TotalTime>5</TotalTime>
  <ScaleCrop>false</ScaleCrop>
  <LinksUpToDate>false</LinksUpToDate>
  <CharactersWithSpaces>1304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2025-07-18T07:54:22Z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3A49F86A3FA34BE1B292E32F1185092F_13</vt:lpwstr>
  </property>
</Properties>
</file>