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新兴玩具（黏土类等）</w:t>
      </w:r>
      <w:r>
        <w:rPr>
          <w:rFonts w:hint="eastAsia" w:ascii="宋体" w:hAnsi="宋体" w:eastAsia="宋体" w:cs="宋体"/>
          <w:b/>
          <w:bCs/>
          <w:color w:val="000000"/>
          <w:sz w:val="36"/>
          <w:szCs w:val="36"/>
        </w:rPr>
        <w:t>产品质量专项监</w:t>
      </w:r>
      <w:bookmarkStart w:id="0" w:name="_GoBack"/>
      <w:bookmarkEnd w:id="0"/>
      <w:r>
        <w:rPr>
          <w:rFonts w:hint="eastAsia" w:ascii="宋体" w:hAnsi="宋体" w:eastAsia="宋体" w:cs="宋体"/>
          <w:b/>
          <w:bCs/>
          <w:color w:val="000000"/>
          <w:sz w:val="36"/>
          <w:szCs w:val="36"/>
        </w:rPr>
        <w:t>督抽查实施细则（202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000000"/>
          <w:szCs w:val="21"/>
          <w:lang w:val="en-US" w:eastAsia="zh-CN"/>
        </w:rPr>
        <w:t>3</w:t>
      </w:r>
      <w:r>
        <w:rPr>
          <w:rFonts w:hint="eastAsia" w:ascii="Times New Roman" w:hAnsi="Times New Roman" w:eastAsia="宋体" w:cs="Times New Roman"/>
          <w:color w:val="000000"/>
          <w:szCs w:val="21"/>
          <w:lang w:val="en-US" w:eastAsia="zh-CN"/>
        </w:rPr>
        <w:t>套</w:t>
      </w:r>
      <w:r>
        <w:rPr>
          <w:color w:val="000000"/>
          <w:szCs w:val="21"/>
        </w:rPr>
        <w:t>，其中</w:t>
      </w:r>
      <w:r>
        <w:rPr>
          <w:rFonts w:hint="eastAsia"/>
          <w:color w:val="auto"/>
          <w:szCs w:val="21"/>
          <w:lang w:val="en-US" w:eastAsia="zh-CN"/>
        </w:rPr>
        <w:t>2套</w:t>
      </w:r>
      <w:r>
        <w:rPr>
          <w:color w:val="000000"/>
          <w:szCs w:val="21"/>
        </w:rPr>
        <w:t>作为检验样品</w:t>
      </w:r>
      <w:r>
        <w:rPr>
          <w:rFonts w:hint="eastAsia"/>
          <w:color w:val="000000"/>
          <w:szCs w:val="21"/>
          <w:lang w:eastAsia="zh-CN"/>
        </w:rPr>
        <w:t>，</w:t>
      </w:r>
      <w:r>
        <w:rPr>
          <w:rFonts w:hint="eastAsia"/>
          <w:color w:val="000000"/>
          <w:szCs w:val="21"/>
          <w:lang w:val="en-US" w:eastAsia="zh-CN"/>
        </w:rPr>
        <w:t>1</w:t>
      </w:r>
      <w:r>
        <w:rPr>
          <w:rFonts w:hint="eastAsia"/>
          <w:color w:val="auto"/>
          <w:szCs w:val="21"/>
          <w:lang w:val="en-US" w:eastAsia="zh-CN"/>
        </w:rPr>
        <w:t>套</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易燃性能</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6675.3-2014</w:t>
            </w:r>
          </w:p>
        </w:tc>
      </w:tr>
      <w:tr w14:paraId="04DC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D619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4AED2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特定元素的迁移</w:t>
            </w:r>
          </w:p>
        </w:tc>
        <w:tc>
          <w:tcPr>
            <w:tcW w:w="3473" w:type="dxa"/>
            <w:vAlign w:val="center"/>
          </w:tcPr>
          <w:p w14:paraId="67B54983">
            <w:pPr>
              <w:snapToGrid w:val="0"/>
              <w:spacing w:line="440" w:lineRule="exact"/>
              <w:jc w:val="center"/>
              <w:rPr>
                <w:rFonts w:hint="default"/>
                <w:color w:val="000000"/>
                <w:szCs w:val="21"/>
                <w:lang w:val="en-US" w:eastAsia="zh-CN"/>
              </w:rPr>
            </w:pPr>
            <w:r>
              <w:rPr>
                <w:rFonts w:hint="eastAsia"/>
                <w:color w:val="000000"/>
                <w:szCs w:val="21"/>
                <w:lang w:val="en-US" w:eastAsia="zh-CN"/>
              </w:rPr>
              <w:t>GB 6675.4-2014</w:t>
            </w:r>
          </w:p>
        </w:tc>
      </w:tr>
      <w:tr w14:paraId="58E8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5379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80F5F3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增塑剂</w:t>
            </w:r>
          </w:p>
        </w:tc>
        <w:tc>
          <w:tcPr>
            <w:tcW w:w="3473" w:type="dxa"/>
            <w:vAlign w:val="center"/>
          </w:tcPr>
          <w:p w14:paraId="21EC7715">
            <w:pPr>
              <w:snapToGrid w:val="0"/>
              <w:spacing w:line="440" w:lineRule="exact"/>
              <w:jc w:val="center"/>
              <w:rPr>
                <w:rFonts w:hint="default"/>
                <w:color w:val="000000"/>
                <w:szCs w:val="21"/>
                <w:lang w:val="en-US" w:eastAsia="zh-CN"/>
              </w:rPr>
            </w:pPr>
            <w:r>
              <w:rPr>
                <w:rFonts w:hint="eastAsia"/>
                <w:color w:val="000000"/>
                <w:szCs w:val="21"/>
                <w:lang w:val="en-US" w:eastAsia="zh-CN"/>
              </w:rPr>
              <w:t>GB/T 22048-2022</w:t>
            </w:r>
          </w:p>
        </w:tc>
      </w:tr>
      <w:tr w14:paraId="0A8B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5B1B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F2229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机械与物理性能（正常使用）</w:t>
            </w:r>
          </w:p>
        </w:tc>
        <w:tc>
          <w:tcPr>
            <w:tcW w:w="3473" w:type="dxa"/>
            <w:vAlign w:val="center"/>
          </w:tcPr>
          <w:p w14:paraId="0F45BB31">
            <w:pPr>
              <w:snapToGrid w:val="0"/>
              <w:spacing w:line="440" w:lineRule="exact"/>
              <w:jc w:val="center"/>
              <w:rPr>
                <w:rFonts w:hint="default"/>
                <w:color w:val="000000"/>
                <w:szCs w:val="21"/>
                <w:lang w:val="en-US" w:eastAsia="zh-CN"/>
              </w:rPr>
            </w:pPr>
            <w:r>
              <w:rPr>
                <w:rFonts w:hint="eastAsia"/>
                <w:color w:val="000000"/>
                <w:szCs w:val="21"/>
                <w:lang w:val="en-US" w:eastAsia="zh-CN"/>
              </w:rPr>
              <w:t>GB 6675.2-2014及第1号修改单</w:t>
            </w:r>
          </w:p>
        </w:tc>
      </w:tr>
      <w:tr w14:paraId="2AD8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1BE6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CB571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机械与物理性能（可预见的合理滥用）</w:t>
            </w:r>
          </w:p>
        </w:tc>
        <w:tc>
          <w:tcPr>
            <w:tcW w:w="3473" w:type="dxa"/>
            <w:vAlign w:val="center"/>
          </w:tcPr>
          <w:p w14:paraId="5CE09CB0">
            <w:pPr>
              <w:snapToGrid w:val="0"/>
              <w:spacing w:line="440" w:lineRule="exact"/>
              <w:jc w:val="center"/>
              <w:rPr>
                <w:rFonts w:hint="default"/>
                <w:color w:val="000000"/>
                <w:szCs w:val="21"/>
                <w:lang w:val="en-US" w:eastAsia="zh-CN"/>
              </w:rPr>
            </w:pPr>
            <w:r>
              <w:rPr>
                <w:rFonts w:hint="eastAsia"/>
                <w:color w:val="000000"/>
                <w:szCs w:val="21"/>
                <w:lang w:val="en-US" w:eastAsia="zh-CN"/>
              </w:rPr>
              <w:t>GB 6675.2-2014及第1号修改单</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6675.1-2014 玩具安全 第1部分：基本规范</w:t>
      </w:r>
    </w:p>
    <w:p w14:paraId="1CFC5D6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6675.2-2014 安全 第2部分：机械与物理性能及第1号修改单</w:t>
      </w:r>
    </w:p>
    <w:p w14:paraId="21ADB67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6675.3-2014 玩具安全 第3部分：易燃性能</w:t>
      </w:r>
    </w:p>
    <w:p w14:paraId="476FCED6">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6675.4-2014玩具安全 第4部分：特定元素的迁移</w:t>
      </w:r>
    </w:p>
    <w:p w14:paraId="65B3FE2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22048-2022玩具及儿童用品中特定邻苯二甲酸酯增塑剂的测定</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813E3AD8-1372-4698-9EFA-E7090C947086}"/>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E6E744A6-2C5D-4EF3-8DF7-5D0BF1CE0ECB}"/>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69B4675"/>
    <w:rsid w:val="3AA82343"/>
    <w:rsid w:val="3BBD205C"/>
    <w:rsid w:val="3C410EE2"/>
    <w:rsid w:val="3C9E39FD"/>
    <w:rsid w:val="3E3850BE"/>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736</Words>
  <Characters>855</Characters>
  <Lines>0</Lines>
  <Paragraphs>0</Paragraphs>
  <TotalTime>4</TotalTime>
  <ScaleCrop>false</ScaleCrop>
  <LinksUpToDate>false</LinksUpToDate>
  <CharactersWithSpaces>875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2025-07-18T07:29:25Z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