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eastAsia="黑体" w:cs="Times New Roman"/>
          <w:sz w:val="32"/>
          <w:szCs w:val="32"/>
          <w:lang w:val="en-US" w:eastAsia="zh-CN"/>
        </w:rPr>
      </w:pPr>
      <w:bookmarkStart w:id="0" w:name="_GoBack"/>
      <w:bookmarkEnd w:id="0"/>
      <w:r>
        <w:rPr>
          <w:rFonts w:hint="eastAsia" w:ascii="Times New Roman" w:hAnsi="Times New Roman" w:eastAsia="黑体" w:cs="Times New Roman"/>
          <w:sz w:val="32"/>
          <w:szCs w:val="32"/>
          <w:lang w:val="en-US" w:eastAsia="zh-CN"/>
        </w:rPr>
        <w:t>西藏自治区车用汽油、车用柴油</w:t>
      </w:r>
    </w:p>
    <w:p>
      <w:pPr>
        <w:spacing w:line="440" w:lineRule="exact"/>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产品质量监督抽查（含快速筛查）实施细则</w:t>
      </w:r>
    </w:p>
    <w:p>
      <w:pPr>
        <w:spacing w:line="440" w:lineRule="exact"/>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（2025年版）</w:t>
      </w:r>
    </w:p>
    <w:p>
      <w:pPr>
        <w:keepNext w:val="0"/>
        <w:keepLines w:val="0"/>
        <w:pageBreakBefore w:val="0"/>
        <w:kinsoku/>
        <w:wordWrap/>
        <w:overflowPunct/>
        <w:topLinePunct w:val="0"/>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 抽查方法</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1.1 抽查型号或规格</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抽取样品应为同一储油罐、同一加油机（枪）、同一型号的油品。</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1.2 抽查方法、数量</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1.2.1 抽查方法Ⅰ</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对各加油站内待售的车用汽油、车用柴油开展快速筛查</w:t>
      </w:r>
      <w:r>
        <w:rPr>
          <w:rFonts w:hint="eastAsia" w:asciiTheme="minorEastAsia" w:hAnsiTheme="minorEastAsia" w:cstheme="minorEastAsia"/>
          <w:sz w:val="21"/>
          <w:szCs w:val="21"/>
          <w:lang w:val="en-US" w:eastAsia="zh-CN"/>
        </w:rPr>
        <w:t>，取样500mL。从储油罐取样，</w:t>
      </w:r>
      <w:r>
        <w:rPr>
          <w:rFonts w:hint="eastAsia" w:asciiTheme="minorEastAsia" w:hAnsiTheme="minorEastAsia" w:eastAsiaTheme="minorEastAsia" w:cstheme="minorEastAsia"/>
          <w:sz w:val="21"/>
          <w:szCs w:val="21"/>
          <w:lang w:val="en-US" w:eastAsia="zh-CN"/>
        </w:rPr>
        <w:t>取样方法执行GB/T 4756规定</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在加油站抽取样品，允许直接从加油机油枪中取样</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抽样基数不少于其可以正常对外加油状态时的最低储油罐存量。</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1.2.2 抽查方法Ⅱ</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若快速筛查未通过，应</w:t>
      </w:r>
      <w:r>
        <w:rPr>
          <w:rFonts w:hint="eastAsia" w:asciiTheme="minorEastAsia" w:hAnsiTheme="minorEastAsia" w:cstheme="minorEastAsia"/>
          <w:sz w:val="21"/>
          <w:szCs w:val="21"/>
          <w:lang w:val="en-US" w:eastAsia="zh-CN"/>
        </w:rPr>
        <w:t>重新抽样，并</w:t>
      </w:r>
      <w:r>
        <w:rPr>
          <w:rFonts w:hint="eastAsia" w:asciiTheme="minorEastAsia" w:hAnsiTheme="minorEastAsia" w:eastAsiaTheme="minorEastAsia" w:cstheme="minorEastAsia"/>
          <w:sz w:val="21"/>
          <w:szCs w:val="21"/>
          <w:lang w:val="en-US" w:eastAsia="zh-CN"/>
        </w:rPr>
        <w:t>填写抽样单。按照GB/T 4756《石油液体手工采样法》抽取同一加油枪的油品，从加油机枪口中抽取成品油样品</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L，分装在2个</w:t>
      </w:r>
      <w:r>
        <w:rPr>
          <w:rFonts w:hint="eastAsia" w:asciiTheme="minorEastAsia" w:hAnsiTheme="minorEastAsia" w:cstheme="minorEastAsia"/>
          <w:sz w:val="21"/>
          <w:szCs w:val="21"/>
          <w:lang w:val="en-US" w:eastAsia="zh-CN"/>
        </w:rPr>
        <w:t>合适的</w:t>
      </w:r>
      <w:r>
        <w:rPr>
          <w:rFonts w:hint="eastAsia" w:asciiTheme="minorEastAsia" w:hAnsiTheme="minorEastAsia" w:eastAsiaTheme="minorEastAsia" w:cstheme="minorEastAsia"/>
          <w:sz w:val="21"/>
          <w:szCs w:val="21"/>
          <w:lang w:val="en-US" w:eastAsia="zh-CN"/>
        </w:rPr>
        <w:t>容器中，</w:t>
      </w:r>
      <w:r>
        <w:rPr>
          <w:rFonts w:hint="eastAsia" w:asciiTheme="minorEastAsia" w:hAnsiTheme="minorEastAsia" w:cstheme="minorEastAsia"/>
          <w:sz w:val="21"/>
          <w:szCs w:val="21"/>
          <w:lang w:val="en-US" w:eastAsia="zh-CN"/>
        </w:rPr>
        <w:t>一份4L为检样，一份2L为备样。</w:t>
      </w:r>
      <w:r>
        <w:rPr>
          <w:rFonts w:hint="eastAsia" w:asciiTheme="minorEastAsia" w:hAnsiTheme="minorEastAsia" w:eastAsiaTheme="minorEastAsia" w:cstheme="minorEastAsia"/>
          <w:sz w:val="21"/>
          <w:szCs w:val="21"/>
          <w:lang w:val="en-US" w:eastAsia="zh-CN"/>
        </w:rPr>
        <w:t>检测样品带回实验室，对筛查未通过的样品进行检验；备用样品</w:t>
      </w:r>
      <w:r>
        <w:rPr>
          <w:rFonts w:hint="eastAsia" w:asciiTheme="minorEastAsia" w:hAnsiTheme="minorEastAsia" w:cstheme="minorEastAsia"/>
          <w:sz w:val="21"/>
          <w:szCs w:val="21"/>
          <w:lang w:val="en-US" w:eastAsia="zh-CN"/>
        </w:rPr>
        <w:t>封存于</w:t>
      </w:r>
      <w:r>
        <w:rPr>
          <w:rFonts w:hint="eastAsia" w:asciiTheme="minorEastAsia" w:hAnsiTheme="minorEastAsia" w:eastAsiaTheme="minorEastAsia" w:cstheme="minorEastAsia"/>
          <w:sz w:val="21"/>
          <w:szCs w:val="21"/>
          <w:lang w:val="en-US" w:eastAsia="zh-CN"/>
        </w:rPr>
        <w:t>于受检单位。（注：盛样容器应经过拟被抽查油品清洗后进行正式取样工作）</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两份样品需当场独立封样处理，加贴封样单，封样单应包含抽样单位公章、抽样日期、抽样单编号、受检单位负责人签名、抽样人员签名。备用样品应做好</w:t>
      </w:r>
      <w:r>
        <w:rPr>
          <w:rFonts w:hint="eastAsia" w:asciiTheme="minorEastAsia" w:hAnsiTheme="minorEastAsia" w:cstheme="minorEastAsia"/>
          <w:sz w:val="21"/>
          <w:szCs w:val="21"/>
          <w:lang w:val="en-US" w:eastAsia="zh-CN"/>
        </w:rPr>
        <w:t>防</w:t>
      </w:r>
      <w:r>
        <w:rPr>
          <w:rFonts w:hint="eastAsia" w:asciiTheme="minorEastAsia" w:hAnsiTheme="minorEastAsia" w:eastAsiaTheme="minorEastAsia" w:cstheme="minorEastAsia"/>
          <w:sz w:val="21"/>
          <w:szCs w:val="21"/>
          <w:lang w:val="en-US" w:eastAsia="zh-CN"/>
        </w:rPr>
        <w:t>拆封措施后封存于受检单位。受检单位应妥善保管，不得擅自更换、隐匿、处理、转移、变卖、损毁已抽查封存的备用样品。</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 检验项目及方法</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车用汽油和车用柴油的检验项目及方法见表1.</w:t>
      </w:r>
    </w:p>
    <w:p>
      <w:pPr>
        <w:pStyle w:val="2"/>
        <w:keepNext w:val="0"/>
        <w:keepLines w:val="0"/>
        <w:pageBreakBefore w:val="0"/>
        <w:kinsoku/>
        <w:wordWrap/>
        <w:overflowPunct/>
        <w:topLinePunct w:val="0"/>
        <w:bidi w:val="0"/>
        <w:adjustRightInd/>
        <w:snapToGrid/>
        <w:spacing w:line="44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rPr>
        <w:t xml:space="preserve">表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cs="黑体"/>
          <w:sz w:val="21"/>
          <w:szCs w:val="21"/>
          <w:lang w:val="en-US" w:eastAsia="zh-CN"/>
        </w:rPr>
        <w:t xml:space="preserve"> </w:t>
      </w:r>
      <w:r>
        <w:rPr>
          <w:rFonts w:hint="eastAsia" w:ascii="黑体" w:hAnsi="黑体" w:eastAsia="黑体" w:cs="黑体"/>
          <w:sz w:val="21"/>
          <w:szCs w:val="21"/>
          <w:lang w:val="en-US" w:eastAsia="zh-CN"/>
        </w:rPr>
        <w:t>检验项目及方法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822"/>
        <w:gridCol w:w="2098"/>
        <w:gridCol w:w="1958"/>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序号</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产品类别</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检验项目</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快速筛查</w:t>
            </w:r>
            <w:r>
              <w:rPr>
                <w:rFonts w:hint="eastAsia" w:asciiTheme="minorEastAsia" w:hAnsiTheme="minorEastAsia" w:eastAsiaTheme="minorEastAsia" w:cstheme="minorEastAsia"/>
                <w:sz w:val="20"/>
                <w:szCs w:val="20"/>
                <w:vertAlign w:val="baseline"/>
                <w:lang w:val="en-US" w:eastAsia="zh-CN"/>
              </w:rPr>
              <w:t>试验方法</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监督抽查试验方法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w:t>
            </w:r>
          </w:p>
        </w:tc>
        <w:tc>
          <w:tcPr>
            <w:tcW w:w="0" w:type="auto"/>
            <w:vMerge w:val="restart"/>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车用汽油</w:t>
            </w: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研究法辛烷值（RON）</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0474</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苯含量（体积分数）</w:t>
            </w:r>
          </w:p>
        </w:tc>
        <w:tc>
          <w:tcPr>
            <w:tcW w:w="0" w:type="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0474</w:t>
            </w:r>
          </w:p>
        </w:tc>
        <w:tc>
          <w:tcPr>
            <w:tcW w:w="0" w:type="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NB/SH/T 0713</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highlight w:val="none"/>
                <w:lang w:val="en-US" w:eastAsia="zh-CN"/>
              </w:rPr>
              <w:t>SH/T 0693</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highlight w:val="none"/>
                <w:lang w:val="en-US" w:eastAsia="zh-CN"/>
              </w:rPr>
              <w:t>GB/T 30519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3</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芳烃含量（体积分数）</w:t>
            </w:r>
          </w:p>
        </w:tc>
        <w:tc>
          <w:tcPr>
            <w:tcW w:w="0" w:type="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0474</w:t>
            </w:r>
          </w:p>
        </w:tc>
        <w:tc>
          <w:tcPr>
            <w:tcW w:w="0" w:type="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GB/T 30519</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highlight w:val="none"/>
                <w:lang w:val="en-US" w:eastAsia="zh-CN"/>
              </w:rPr>
              <w:t>GB/T 11132</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highlight w:val="none"/>
                <w:lang w:val="en-US" w:eastAsia="zh-CN"/>
              </w:rPr>
              <w:t>NB/SH/T 0741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4</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烯烃含量（体积分数）</w:t>
            </w:r>
          </w:p>
        </w:tc>
        <w:tc>
          <w:tcPr>
            <w:tcW w:w="0" w:type="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0474</w:t>
            </w:r>
          </w:p>
        </w:tc>
        <w:tc>
          <w:tcPr>
            <w:tcW w:w="0" w:type="auto"/>
            <w:shd w:val="clear" w:color="auto" w:fill="auto"/>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cstheme="minorEastAsia"/>
                <w:sz w:val="20"/>
                <w:szCs w:val="20"/>
                <w:highlight w:val="none"/>
                <w:lang w:val="en-US" w:eastAsia="zh-CN"/>
              </w:rPr>
              <w:t>GB/T 30519</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highlight w:val="none"/>
                <w:lang w:val="en-US" w:eastAsia="zh-CN"/>
              </w:rPr>
              <w:t>GB/T 11132</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highlight w:val="none"/>
                <w:lang w:val="en-US" w:eastAsia="zh-CN"/>
              </w:rPr>
              <w:t>NB/SH/T 0741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5</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vAlign w:val="center"/>
          </w:tcPr>
          <w:p>
            <w:pPr>
              <w:pStyle w:val="6"/>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氧含量（质量分数）</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0474</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NB/SH/T 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6</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甲醇含量（质量分数）</w:t>
            </w:r>
          </w:p>
        </w:tc>
        <w:tc>
          <w:tcPr>
            <w:tcW w:w="0" w:type="auto"/>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0474</w:t>
            </w:r>
          </w:p>
        </w:tc>
        <w:tc>
          <w:tcPr>
            <w:tcW w:w="0" w:type="auto"/>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NB/SH/T 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7</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硫含量</w:t>
            </w: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SH/T 0689或NB/SH/T 0842</w:t>
            </w: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8</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密度（20℃）</w:t>
            </w:r>
          </w:p>
        </w:tc>
        <w:tc>
          <w:tcPr>
            <w:tcW w:w="0" w:type="auto"/>
            <w:vAlign w:val="center"/>
          </w:tcPr>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GB/T 1884、GB/T 1885</w:t>
            </w:r>
          </w:p>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或SH/T 0604</w:t>
            </w:r>
          </w:p>
        </w:tc>
        <w:tc>
          <w:tcPr>
            <w:tcW w:w="0" w:type="auto"/>
            <w:vAlign w:val="center"/>
          </w:tcPr>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GB/T 1884、GB/T 1885</w:t>
            </w:r>
          </w:p>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或SH/T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9</w:t>
            </w:r>
          </w:p>
        </w:tc>
        <w:tc>
          <w:tcPr>
            <w:tcW w:w="0" w:type="auto"/>
            <w:vMerge w:val="restart"/>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车用柴油</w:t>
            </w: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多环芳烃含量（质量分数）</w:t>
            </w:r>
          </w:p>
        </w:tc>
        <w:tc>
          <w:tcPr>
            <w:tcW w:w="0" w:type="auto"/>
            <w:vAlign w:val="center"/>
          </w:tcPr>
          <w:p>
            <w:pPr>
              <w:keepNext w:val="0"/>
              <w:keepLines w:val="0"/>
              <w:pageBreakBefore w:val="0"/>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0476</w:t>
            </w:r>
          </w:p>
        </w:tc>
        <w:tc>
          <w:tcPr>
            <w:tcW w:w="0" w:type="auto"/>
            <w:vAlign w:val="center"/>
          </w:tcPr>
          <w:p>
            <w:pPr>
              <w:keepNext w:val="0"/>
              <w:keepLines w:val="0"/>
              <w:pageBreakBefore w:val="0"/>
              <w:kinsoku/>
              <w:wordWrap/>
              <w:overflowPunct/>
              <w:topLinePunct w:val="0"/>
              <w:bidi w:val="0"/>
              <w:adjustRightInd/>
              <w:snapToGrid/>
              <w:spacing w:line="32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NB/SH/T 0806</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lang w:val="en-US" w:eastAsia="zh-CN"/>
              </w:rPr>
              <w:t>NB/SH/T 0606</w:t>
            </w:r>
            <w:r>
              <w:rPr>
                <w:rFonts w:hint="eastAsia" w:asciiTheme="minorEastAsia" w:hAnsiTheme="minorEastAsia" w:eastAsiaTheme="minorEastAsia" w:cstheme="minorEastAsia"/>
                <w:sz w:val="20"/>
                <w:szCs w:val="20"/>
                <w:lang w:val="en-US" w:eastAsia="zh-CN"/>
              </w:rPr>
              <w:t>或</w:t>
            </w:r>
            <w:r>
              <w:rPr>
                <w:rFonts w:hint="eastAsia" w:asciiTheme="minorEastAsia" w:hAnsiTheme="minorEastAsia" w:cstheme="minorEastAsia"/>
                <w:sz w:val="20"/>
                <w:szCs w:val="20"/>
                <w:lang w:val="en-US" w:eastAsia="zh-CN"/>
              </w:rPr>
              <w:t>GB/T 25963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10</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vAlign w:val="center"/>
          </w:tcPr>
          <w:p>
            <w:pPr>
              <w:pStyle w:val="6"/>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凝点</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0476</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11</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vAlign w:val="center"/>
          </w:tcPr>
          <w:p>
            <w:pPr>
              <w:pStyle w:val="6"/>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冷滤点</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0476</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NB/SH/T 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12</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十六烷值</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0476</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DB54/T 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13</w:t>
            </w:r>
          </w:p>
        </w:tc>
        <w:tc>
          <w:tcPr>
            <w:tcW w:w="0" w:type="auto"/>
            <w:vMerge w:val="continue"/>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十六烷指数</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lang w:val="en-US" w:eastAsia="zh-CN"/>
              </w:rPr>
              <w:t xml:space="preserve">DB54/T </w:t>
            </w:r>
            <w:r>
              <w:rPr>
                <w:rFonts w:hint="eastAsia" w:asciiTheme="minorEastAsia" w:hAnsiTheme="minorEastAsia" w:cstheme="minorEastAsia"/>
                <w:sz w:val="20"/>
                <w:szCs w:val="20"/>
                <w:highlight w:val="none"/>
                <w:lang w:val="en-US" w:eastAsia="zh-CN"/>
              </w:rPr>
              <w:t>0476</w:t>
            </w:r>
          </w:p>
        </w:tc>
        <w:tc>
          <w:tcPr>
            <w:tcW w:w="0" w:type="auto"/>
            <w:vAlign w:val="center"/>
          </w:tcPr>
          <w:p>
            <w:pPr>
              <w:keepNext w:val="0"/>
              <w:keepLines w:val="0"/>
              <w:pageBreakBefore w:val="0"/>
              <w:kinsoku/>
              <w:wordWrap/>
              <w:overflowPunct/>
              <w:topLinePunct w:val="0"/>
              <w:bidi w:val="0"/>
              <w:adjustRightInd/>
              <w:snapToGrid/>
              <w:spacing w:line="440" w:lineRule="exact"/>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cstheme="minorEastAsia"/>
                <w:sz w:val="20"/>
                <w:szCs w:val="20"/>
                <w:highlight w:val="none"/>
                <w:lang w:val="en-US" w:eastAsia="zh-CN"/>
              </w:rPr>
              <w:t>SH/T 0694或GB 11139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14</w:t>
            </w:r>
          </w:p>
        </w:tc>
        <w:tc>
          <w:tcPr>
            <w:tcW w:w="0" w:type="auto"/>
            <w:vMerge w:val="continue"/>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闪点（闭口）</w:t>
            </w: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highlight w:val="none"/>
                <w:lang w:val="en-US" w:eastAsia="zh-CN"/>
              </w:rPr>
              <w:t>SH/T 0768或GB/T 261</w:t>
            </w:r>
          </w:p>
        </w:tc>
        <w:tc>
          <w:tcPr>
            <w:tcW w:w="0" w:type="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15</w:t>
            </w:r>
          </w:p>
        </w:tc>
        <w:tc>
          <w:tcPr>
            <w:tcW w:w="0" w:type="auto"/>
            <w:vMerge w:val="continue"/>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硫含量</w:t>
            </w:r>
          </w:p>
        </w:tc>
        <w:tc>
          <w:tcPr>
            <w:tcW w:w="0" w:type="auto"/>
            <w:vAlign w:val="center"/>
          </w:tcPr>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SH/T 0689</w:t>
            </w:r>
          </w:p>
          <w:p>
            <w:pPr>
              <w:pStyle w:val="6"/>
              <w:keepNext w:val="0"/>
              <w:keepLines w:val="0"/>
              <w:pageBreakBefore w:val="0"/>
              <w:widowControl/>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或NB/SH/T 0842</w:t>
            </w:r>
          </w:p>
        </w:tc>
        <w:tc>
          <w:tcPr>
            <w:tcW w:w="0" w:type="auto"/>
            <w:vAlign w:val="center"/>
          </w:tcPr>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16</w:t>
            </w:r>
          </w:p>
        </w:tc>
        <w:tc>
          <w:tcPr>
            <w:tcW w:w="0" w:type="auto"/>
            <w:vMerge w:val="continue"/>
            <w:vAlign w:val="center"/>
          </w:tcPr>
          <w:p>
            <w:pPr>
              <w:keepNext w:val="0"/>
              <w:keepLines w:val="0"/>
              <w:pageBreakBefore w:val="0"/>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vertAlign w:val="baseline"/>
                <w:lang w:val="en-US" w:eastAsia="zh-CN"/>
              </w:rPr>
            </w:pPr>
          </w:p>
        </w:tc>
        <w:tc>
          <w:tcPr>
            <w:tcW w:w="0" w:type="auto"/>
            <w:shd w:val="clear" w:color="auto" w:fill="auto"/>
            <w:vAlign w:val="center"/>
          </w:tcPr>
          <w:p>
            <w:pPr>
              <w:pStyle w:val="6"/>
              <w:keepNext w:val="0"/>
              <w:keepLines w:val="0"/>
              <w:pageBreakBefore w:val="0"/>
              <w:widowControl w:val="0"/>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密度（20℃）</w:t>
            </w:r>
          </w:p>
        </w:tc>
        <w:tc>
          <w:tcPr>
            <w:tcW w:w="0" w:type="auto"/>
            <w:vAlign w:val="center"/>
          </w:tcPr>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GB/T 1884、GB/T 1885</w:t>
            </w:r>
          </w:p>
          <w:p>
            <w:pPr>
              <w:pStyle w:val="6"/>
              <w:keepNext w:val="0"/>
              <w:keepLines w:val="0"/>
              <w:pageBreakBefore w:val="0"/>
              <w:widowControl/>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lang w:val="en-US" w:eastAsia="zh-CN"/>
              </w:rPr>
              <w:t>或SH/T 0604</w:t>
            </w:r>
          </w:p>
        </w:tc>
        <w:tc>
          <w:tcPr>
            <w:tcW w:w="0" w:type="auto"/>
            <w:vAlign w:val="center"/>
          </w:tcPr>
          <w:p>
            <w:pPr>
              <w:pStyle w:val="6"/>
              <w:keepNext w:val="0"/>
              <w:keepLines w:val="0"/>
              <w:pageBreakBefore w:val="0"/>
              <w:widowControl/>
              <w:kinsoku/>
              <w:wordWrap/>
              <w:overflowPunct/>
              <w:topLinePunct w:val="0"/>
              <w:bidi w:val="0"/>
              <w:adjustRightInd/>
              <w:snapToGrid/>
              <w:spacing w:line="32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GB/T 1884、GB/T 1885</w:t>
            </w:r>
          </w:p>
          <w:p>
            <w:pPr>
              <w:pStyle w:val="6"/>
              <w:keepNext w:val="0"/>
              <w:keepLines w:val="0"/>
              <w:pageBreakBefore w:val="0"/>
              <w:widowControl/>
              <w:kinsoku/>
              <w:wordWrap/>
              <w:overflowPunct/>
              <w:topLinePunct w:val="0"/>
              <w:bidi w:val="0"/>
              <w:adjustRightInd/>
              <w:snapToGrid/>
              <w:spacing w:line="320" w:lineRule="exact"/>
              <w:ind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或SH/T 0604</w:t>
            </w:r>
          </w:p>
        </w:tc>
      </w:tr>
    </w:tbl>
    <w:p>
      <w:pPr>
        <w:keepNext w:val="0"/>
        <w:keepLines w:val="0"/>
        <w:pageBreakBefore w:val="0"/>
        <w:kinsoku/>
        <w:wordWrap/>
        <w:overflowPunct/>
        <w:topLinePunct w:val="0"/>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执行企业标准、团体标准、地方标准的产品，检验项目参照上述内容执行。</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判定原则</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3.1 依据标准</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 17930-2016《车用汽油》</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 19147-2016《车用柴油》</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DB54/T </w:t>
      </w:r>
      <w:r>
        <w:rPr>
          <w:rFonts w:hint="eastAsia" w:asciiTheme="minorEastAsia" w:hAnsiTheme="minorEastAsia" w:cstheme="minorEastAsia"/>
          <w:sz w:val="21"/>
          <w:szCs w:val="21"/>
          <w:highlight w:val="none"/>
          <w:lang w:val="en-US" w:eastAsia="zh-CN"/>
        </w:rPr>
        <w:t>0473</w:t>
      </w:r>
      <w:r>
        <w:rPr>
          <w:rFonts w:hint="eastAsia" w:asciiTheme="minorEastAsia" w:hAnsiTheme="minorEastAsia" w:eastAsiaTheme="minorEastAsia" w:cstheme="minorEastAsia"/>
          <w:sz w:val="21"/>
          <w:szCs w:val="21"/>
          <w:highlight w:val="none"/>
          <w:lang w:val="en-US" w:eastAsia="zh-CN"/>
        </w:rPr>
        <w:t>-2025 《车用汽油快速筛查技术规范》</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 xml:space="preserve">DB54/T </w:t>
      </w:r>
      <w:r>
        <w:rPr>
          <w:rFonts w:hint="eastAsia" w:asciiTheme="minorEastAsia" w:hAnsiTheme="minorEastAsia" w:cstheme="minorEastAsia"/>
          <w:sz w:val="21"/>
          <w:szCs w:val="21"/>
          <w:highlight w:val="none"/>
          <w:lang w:val="en-US" w:eastAsia="zh-CN"/>
        </w:rPr>
        <w:t>0475</w:t>
      </w:r>
      <w:r>
        <w:rPr>
          <w:rFonts w:hint="eastAsia" w:asciiTheme="minorEastAsia" w:hAnsiTheme="minorEastAsia" w:eastAsiaTheme="minorEastAsia" w:cstheme="minorEastAsia"/>
          <w:sz w:val="21"/>
          <w:szCs w:val="21"/>
          <w:highlight w:val="none"/>
          <w:lang w:val="en-US" w:eastAsia="zh-CN"/>
        </w:rPr>
        <w:t>-2025</w:t>
      </w:r>
      <w:r>
        <w:rPr>
          <w:rFonts w:hint="eastAsia" w:asciiTheme="minorEastAsia" w:hAnsiTheme="minorEastAsia" w:eastAsiaTheme="minorEastAsia" w:cstheme="minorEastAsia"/>
          <w:sz w:val="21"/>
          <w:szCs w:val="21"/>
          <w:lang w:val="en-US" w:eastAsia="zh-CN"/>
        </w:rPr>
        <w:t xml:space="preserve"> 《车用柴油快速筛查技术规范》</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现行有效的企业标准、团体标准、地方标准及产品明示质量要求。</w:t>
      </w:r>
    </w:p>
    <w:p>
      <w:pPr>
        <w:keepNext w:val="0"/>
        <w:keepLines w:val="0"/>
        <w:pageBreakBefore w:val="0"/>
        <w:kinsoku/>
        <w:wordWrap/>
        <w:overflowPunct/>
        <w:topLinePunct w:val="0"/>
        <w:bidi w:val="0"/>
        <w:adjustRightInd/>
        <w:snapToGrid/>
        <w:spacing w:line="440" w:lineRule="exact"/>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3.2 判定原则</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经筛查，检验项目全部通过，判定为被抽查产品通过本次筛查；检验项目中任一项或一项以上未通过，判定为被抽查产品未通过本次筛查。</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若快速筛查未通过，则按照</w:t>
      </w:r>
      <w:r>
        <w:rPr>
          <w:rFonts w:hint="eastAsia" w:asciiTheme="minorEastAsia" w:hAnsiTheme="minorEastAsia" w:cstheme="minorEastAsia"/>
          <w:sz w:val="21"/>
          <w:szCs w:val="21"/>
          <w:lang w:val="en-US" w:eastAsia="zh-CN"/>
        </w:rPr>
        <w:t>本细则取样进行全项</w:t>
      </w:r>
      <w:r>
        <w:rPr>
          <w:rFonts w:hint="eastAsia" w:asciiTheme="minorEastAsia" w:hAnsiTheme="minorEastAsia" w:eastAsiaTheme="minorEastAsia" w:cstheme="minorEastAsia"/>
          <w:sz w:val="21"/>
          <w:szCs w:val="21"/>
          <w:lang w:val="en-US" w:eastAsia="zh-CN"/>
        </w:rPr>
        <w:t>检验。</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若被检产品明示的质量要求高于本细则中检验项目依据的标准要求时,应按被检产品明示的质量要求判定</w:t>
      </w:r>
      <w:r>
        <w:rPr>
          <w:rFonts w:hint="eastAsia" w:asciiTheme="minorEastAsia" w:hAnsiTheme="minorEastAsia" w:cstheme="minorEastAsia"/>
          <w:sz w:val="21"/>
          <w:szCs w:val="21"/>
          <w:lang w:val="en-US" w:eastAsia="zh-CN"/>
        </w:rPr>
        <w:t>。</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若被检产品明示的质量要求低于本细则中检验项目依据的强制性标准要求时，应按照强制性标准要求判定</w:t>
      </w:r>
      <w:r>
        <w:rPr>
          <w:rFonts w:hint="eastAsia" w:asciiTheme="minorEastAsia" w:hAnsiTheme="minorEastAsia" w:cstheme="minorEastAsia"/>
          <w:sz w:val="21"/>
          <w:szCs w:val="21"/>
          <w:lang w:val="en-US" w:eastAsia="zh-CN"/>
        </w:rPr>
        <w:t>。</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若被检产品明示的质量要求低于或包含本细则中检验项目依据的推荐性标准要求时，应以被检产品明示的质量要求判定</w:t>
      </w:r>
      <w:r>
        <w:rPr>
          <w:rFonts w:hint="eastAsia" w:asciiTheme="minorEastAsia" w:hAnsiTheme="minorEastAsia" w:cstheme="minorEastAsia"/>
          <w:sz w:val="21"/>
          <w:szCs w:val="21"/>
          <w:lang w:val="en-US" w:eastAsia="zh-CN"/>
        </w:rPr>
        <w:t>。</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若被检产品明示的质量要求缺少本细则中检验项目依据的强制性标准要求时，应按照强制性标准要求判定</w:t>
      </w:r>
      <w:r>
        <w:rPr>
          <w:rFonts w:hint="eastAsia" w:asciiTheme="minorEastAsia" w:hAnsiTheme="minorEastAsia" w:cstheme="minorEastAsia"/>
          <w:sz w:val="21"/>
          <w:szCs w:val="21"/>
          <w:lang w:val="en-US" w:eastAsia="zh-CN"/>
        </w:rPr>
        <w:t>。</w:t>
      </w:r>
    </w:p>
    <w:p>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若被检产品明示的质量要求缺少本细则中检验项目依据的推荐性标准要求时，该项目不参与判定。</w:t>
      </w:r>
    </w:p>
    <w:p>
      <w:pPr>
        <w:keepNext w:val="0"/>
        <w:keepLines w:val="0"/>
        <w:pageBreakBefore w:val="0"/>
        <w:kinsoku/>
        <w:wordWrap/>
        <w:overflowPunct/>
        <w:topLinePunct w:val="0"/>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bidi w:val="0"/>
        <w:adjustRightInd/>
        <w:snapToGrid/>
        <w:spacing w:line="440" w:lineRule="exact"/>
        <w:textAlignment w:val="auto"/>
        <w:rPr>
          <w:rFonts w:hint="eastAsia" w:asciiTheme="minorEastAsia" w:hAnsiTheme="minorEastAsia" w:eastAsiaTheme="minorEastAsia" w:cs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7215"/>
    <w:rsid w:val="05275C98"/>
    <w:rsid w:val="05FC2A4D"/>
    <w:rsid w:val="06FC74AE"/>
    <w:rsid w:val="0AD83539"/>
    <w:rsid w:val="13BF31B2"/>
    <w:rsid w:val="151327D9"/>
    <w:rsid w:val="157B40B3"/>
    <w:rsid w:val="15D56968"/>
    <w:rsid w:val="1F566EB8"/>
    <w:rsid w:val="22EA6B72"/>
    <w:rsid w:val="25FC0BA2"/>
    <w:rsid w:val="295771D1"/>
    <w:rsid w:val="2A6D1A59"/>
    <w:rsid w:val="2B445F76"/>
    <w:rsid w:val="33817CF3"/>
    <w:rsid w:val="34FF096E"/>
    <w:rsid w:val="35CE2CFC"/>
    <w:rsid w:val="3B37000D"/>
    <w:rsid w:val="401B680A"/>
    <w:rsid w:val="4176565D"/>
    <w:rsid w:val="47463919"/>
    <w:rsid w:val="48B15955"/>
    <w:rsid w:val="48BD16AF"/>
    <w:rsid w:val="4E6F5C5F"/>
    <w:rsid w:val="50AF5455"/>
    <w:rsid w:val="50FD4D3F"/>
    <w:rsid w:val="5314147A"/>
    <w:rsid w:val="54694499"/>
    <w:rsid w:val="56F97D56"/>
    <w:rsid w:val="58D81BED"/>
    <w:rsid w:val="5B661732"/>
    <w:rsid w:val="5C2C1F67"/>
    <w:rsid w:val="5ED7B805"/>
    <w:rsid w:val="61373E63"/>
    <w:rsid w:val="617777B8"/>
    <w:rsid w:val="63A24236"/>
    <w:rsid w:val="645066B3"/>
    <w:rsid w:val="648931C7"/>
    <w:rsid w:val="659D23AE"/>
    <w:rsid w:val="65B92BF9"/>
    <w:rsid w:val="6AFF76FA"/>
    <w:rsid w:val="72AA3611"/>
    <w:rsid w:val="78A57273"/>
    <w:rsid w:val="78D66D83"/>
    <w:rsid w:val="7C1207BB"/>
    <w:rsid w:val="7C6636B6"/>
    <w:rsid w:val="7CB35BA7"/>
    <w:rsid w:val="D76FB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准文件_表格"/>
    <w:basedOn w:val="7"/>
    <w:qFormat/>
    <w:uiPriority w:val="0"/>
    <w:pPr>
      <w:ind w:firstLine="0" w:firstLineChars="0"/>
      <w:jc w:val="center"/>
    </w:pPr>
    <w:rPr>
      <w:sz w:val="18"/>
    </w:rPr>
  </w:style>
  <w:style w:type="paragraph" w:customStyle="1" w:styleId="7">
    <w:name w:val="标准文件_段"/>
    <w:qFormat/>
    <w:uiPriority w:val="0"/>
    <w:pPr>
      <w:autoSpaceDE w:val="0"/>
      <w:autoSpaceDN w:val="0"/>
      <w:ind w:firstLine="200" w:firstLineChars="200"/>
      <w:jc w:val="both"/>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1415</Words>
  <Characters>1903</Characters>
  <Lines>0</Lines>
  <Paragraphs>0</Paragraphs>
  <TotalTime>38</TotalTime>
  <ScaleCrop>false</ScaleCrop>
  <LinksUpToDate>false</LinksUpToDate>
  <CharactersWithSpaces>1975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2025-06-30T19:45:00Z</dcterms:created>
  <dc:creator>65725</dc:creator>
  <cp:lastModifiedBy>xzsj</cp:lastModifiedBy>
  <dcterms:modified xsi:type="dcterms:W3CDTF">2025-07-11T18:23:45Z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eyJoZGlkIjoiMjcyNTQ4ZmUyNmIwZjg0MWQzMGI4YTBmNTRkMGE5MTQiLCJ1c2VySWQiOiIxMjk1NjQ0ODQ0In0=</vt:lpwstr>
  </property>
  <property fmtid="{D5CDD505-2E9C-101B-9397-08002B2CF9AE}" pid="4" name="ICV">
    <vt:lpwstr>F83FFBFE1BDD4F7DB20E875CF6E09FB8_12</vt:lpwstr>
  </property>
</Properties>
</file>