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7EC04D">
      <w:pPr>
        <w:spacing w:line="440" w:lineRule="exact"/>
        <w:jc w:val="center"/>
        <w:rPr>
          <w:rFonts w:hint="eastAsia" w:ascii="方正公文小标宋" w:hAnsi="方正公文小标宋" w:eastAsia="方正公文小标宋" w:cs="方正公文小标宋"/>
          <w:color w:val="000000"/>
          <w:sz w:val="36"/>
          <w:szCs w:val="36"/>
          <w:lang w:val="en-US" w:eastAsia="zh-CN"/>
        </w:rPr>
      </w:pPr>
      <w:r>
        <w:rPr>
          <w:rFonts w:hint="eastAsia" w:ascii="方正公文小标宋" w:hAnsi="方正公文小标宋" w:eastAsia="方正公文小标宋" w:cs="方正公文小标宋"/>
          <w:color w:val="000000"/>
          <w:sz w:val="36"/>
          <w:szCs w:val="36"/>
          <w:lang w:val="en-US" w:eastAsia="zh-CN"/>
        </w:rPr>
        <w:t>西藏自治区家用及类似场所用过电流保护断路器</w:t>
      </w:r>
    </w:p>
    <w:p w14:paraId="07DA4D14">
      <w:pPr>
        <w:spacing w:line="440" w:lineRule="exact"/>
        <w:jc w:val="center"/>
        <w:rPr>
          <w:rFonts w:hint="eastAsia" w:ascii="方正公文小标宋" w:hAnsi="方正公文小标宋" w:eastAsia="方正公文小标宋" w:cs="方正公文小标宋"/>
          <w:color w:val="000000"/>
          <w:sz w:val="36"/>
          <w:szCs w:val="36"/>
          <w:lang w:val="en-US" w:eastAsia="zh-CN"/>
        </w:rPr>
      </w:pPr>
      <w:r>
        <w:rPr>
          <w:rFonts w:hint="eastAsia" w:ascii="方正公文小标宋" w:hAnsi="方正公文小标宋" w:eastAsia="方正公文小标宋" w:cs="方正公文小标宋"/>
          <w:color w:val="000000"/>
          <w:sz w:val="36"/>
          <w:szCs w:val="36"/>
          <w:lang w:val="en-US" w:eastAsia="zh-CN"/>
        </w:rPr>
        <w:t>产品质量监督抽查实施细则</w:t>
      </w:r>
    </w:p>
    <w:p w14:paraId="2B29B97B">
      <w:pPr>
        <w:spacing w:line="440" w:lineRule="exact"/>
        <w:jc w:val="center"/>
        <w:rPr>
          <w:rFonts w:hint="eastAsia" w:ascii="方正公文小标宋" w:hAnsi="方正公文小标宋" w:eastAsia="方正公文小标宋" w:cs="方正公文小标宋"/>
          <w:color w:val="000000"/>
          <w:sz w:val="36"/>
          <w:szCs w:val="36"/>
          <w:lang w:val="en-US" w:eastAsia="zh-CN"/>
        </w:rPr>
      </w:pPr>
      <w:r>
        <w:rPr>
          <w:rFonts w:hint="eastAsia" w:ascii="方正公文小标宋" w:hAnsi="方正公文小标宋" w:eastAsia="方正公文小标宋" w:cs="方正公文小标宋"/>
          <w:color w:val="000000"/>
          <w:sz w:val="36"/>
          <w:szCs w:val="36"/>
          <w:lang w:val="en-US" w:eastAsia="zh-CN"/>
        </w:rPr>
        <w:t>（2025版）</w:t>
      </w:r>
    </w:p>
    <w:p w14:paraId="206BBD79">
      <w:pPr>
        <w:adjustRightInd w:val="0"/>
        <w:snapToGrid w:val="0"/>
        <w:spacing w:before="312" w:beforeLines="100" w:after="312" w:afterLines="100" w:line="440" w:lineRule="exact"/>
        <w:rPr>
          <w:rFonts w:hint="default" w:ascii="Times New Roman" w:hAnsi="Times New Roman" w:eastAsia="宋体" w:cs="Times New Roman"/>
          <w:b/>
          <w:bCs/>
          <w:color w:val="000000"/>
          <w:sz w:val="21"/>
          <w:szCs w:val="21"/>
        </w:rPr>
      </w:pPr>
      <w:r>
        <w:rPr>
          <w:rFonts w:hint="default" w:ascii="Times New Roman" w:hAnsi="Times New Roman" w:eastAsia="宋体" w:cs="Times New Roman"/>
          <w:b/>
          <w:bCs/>
          <w:color w:val="000000"/>
          <w:sz w:val="21"/>
          <w:szCs w:val="21"/>
        </w:rPr>
        <w:t>1 抽样方法</w:t>
      </w:r>
      <w:bookmarkStart w:id="1" w:name="_GoBack"/>
      <w:bookmarkEnd w:id="1"/>
    </w:p>
    <w:p w14:paraId="5996F169">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以随机抽样的方式在被抽样生产者、销售者的待销产品中抽取。</w:t>
      </w:r>
    </w:p>
    <w:p w14:paraId="44550ED3">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随机数一般可使用随机数表等方法产生。</w:t>
      </w:r>
    </w:p>
    <w:p w14:paraId="025483B4">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每批次产品抽取样品</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6只</w:t>
      </w:r>
      <w:r>
        <w:rPr>
          <w:rFonts w:hint="default" w:ascii="Times New Roman" w:hAnsi="Times New Roman" w:eastAsia="宋体" w:cs="Times New Roman"/>
          <w:color w:val="000000" w:themeColor="text1"/>
          <w:sz w:val="21"/>
          <w:szCs w:val="21"/>
          <w14:textFill>
            <w14:solidFill>
              <w14:schemeClr w14:val="tx1"/>
            </w14:solidFill>
          </w14:textFill>
        </w:rPr>
        <w:t>，其中</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3只</w:t>
      </w:r>
      <w:r>
        <w:rPr>
          <w:rFonts w:hint="default" w:ascii="Times New Roman" w:hAnsi="Times New Roman" w:eastAsia="宋体" w:cs="Times New Roman"/>
          <w:color w:val="000000" w:themeColor="text1"/>
          <w:sz w:val="21"/>
          <w:szCs w:val="21"/>
          <w14:textFill>
            <w14:solidFill>
              <w14:schemeClr w14:val="tx1"/>
            </w14:solidFill>
          </w14:textFill>
        </w:rPr>
        <w:t>作为检验样品，</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3只</w:t>
      </w:r>
      <w:r>
        <w:rPr>
          <w:rFonts w:hint="default" w:ascii="Times New Roman" w:hAnsi="Times New Roman" w:eastAsia="宋体" w:cs="Times New Roman"/>
          <w:color w:val="000000" w:themeColor="text1"/>
          <w:sz w:val="21"/>
          <w:szCs w:val="21"/>
          <w14:textFill>
            <w14:solidFill>
              <w14:schemeClr w14:val="tx1"/>
            </w14:solidFill>
          </w14:textFill>
        </w:rPr>
        <w:t>作为备用样</w:t>
      </w:r>
      <w:r>
        <w:rPr>
          <w:rFonts w:hint="default" w:ascii="Times New Roman" w:hAnsi="Times New Roman" w:eastAsia="宋体" w:cs="Times New Roman"/>
          <w:color w:val="000000"/>
          <w:sz w:val="21"/>
          <w:szCs w:val="21"/>
        </w:rPr>
        <w:t>品。</w:t>
      </w:r>
    </w:p>
    <w:p w14:paraId="6990944D">
      <w:pPr>
        <w:adjustRightInd w:val="0"/>
        <w:snapToGrid w:val="0"/>
        <w:spacing w:before="312" w:beforeLines="100" w:after="312" w:afterLines="100" w:line="440" w:lineRule="exact"/>
        <w:rPr>
          <w:rFonts w:hint="default" w:ascii="Times New Roman" w:hAnsi="Times New Roman" w:eastAsia="宋体" w:cs="Times New Roman"/>
          <w:b/>
          <w:bCs/>
          <w:color w:val="000000"/>
          <w:sz w:val="21"/>
          <w:szCs w:val="21"/>
        </w:rPr>
      </w:pPr>
      <w:r>
        <w:rPr>
          <w:rFonts w:hint="default" w:ascii="Times New Roman" w:hAnsi="Times New Roman" w:eastAsia="宋体" w:cs="Times New Roman"/>
          <w:b/>
          <w:bCs/>
          <w:color w:val="000000"/>
          <w:sz w:val="21"/>
          <w:szCs w:val="21"/>
        </w:rPr>
        <w:t>2 检验依据</w:t>
      </w:r>
      <w:bookmarkStart w:id="0" w:name="_Hlk28257335"/>
    </w:p>
    <w:tbl>
      <w:tblPr>
        <w:tblStyle w:val="6"/>
        <w:tblW w:w="8908" w:type="dxa"/>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72"/>
        <w:gridCol w:w="3845"/>
        <w:gridCol w:w="4091"/>
      </w:tblGrid>
      <w:tr w14:paraId="7D7FB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blHeader/>
        </w:trPr>
        <w:tc>
          <w:tcPr>
            <w:tcW w:w="972" w:type="dxa"/>
            <w:tcBorders>
              <w:tl2br w:val="nil"/>
              <w:tr2bl w:val="nil"/>
            </w:tcBorders>
            <w:shd w:val="clear" w:color="auto" w:fill="auto"/>
            <w:noWrap/>
            <w:vAlign w:val="center"/>
          </w:tcPr>
          <w:p w14:paraId="01D7A8AF">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序号</w:t>
            </w:r>
          </w:p>
        </w:tc>
        <w:tc>
          <w:tcPr>
            <w:tcW w:w="3845" w:type="dxa"/>
            <w:tcBorders>
              <w:tl2br w:val="nil"/>
              <w:tr2bl w:val="nil"/>
            </w:tcBorders>
            <w:shd w:val="clear" w:color="auto" w:fill="auto"/>
            <w:noWrap/>
            <w:vAlign w:val="center"/>
          </w:tcPr>
          <w:p w14:paraId="63C9AFA5">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检验项目</w:t>
            </w:r>
          </w:p>
        </w:tc>
        <w:tc>
          <w:tcPr>
            <w:tcW w:w="4091" w:type="dxa"/>
            <w:tcBorders>
              <w:tl2br w:val="nil"/>
              <w:tr2bl w:val="nil"/>
            </w:tcBorders>
            <w:shd w:val="clear" w:color="auto" w:fill="auto"/>
            <w:vAlign w:val="center"/>
          </w:tcPr>
          <w:p w14:paraId="1A1B48C0">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检验方法</w:t>
            </w:r>
          </w:p>
        </w:tc>
      </w:tr>
      <w:tr w14:paraId="000BA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72" w:type="dxa"/>
            <w:tcBorders>
              <w:tl2br w:val="nil"/>
              <w:tr2bl w:val="nil"/>
            </w:tcBorders>
            <w:shd w:val="clear" w:color="auto" w:fill="auto"/>
            <w:noWrap/>
            <w:vAlign w:val="center"/>
          </w:tcPr>
          <w:p w14:paraId="7C217E38">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w:t>
            </w:r>
          </w:p>
        </w:tc>
        <w:tc>
          <w:tcPr>
            <w:tcW w:w="3845" w:type="dxa"/>
            <w:tcBorders>
              <w:tl2br w:val="nil"/>
              <w:tr2bl w:val="nil"/>
            </w:tcBorders>
            <w:shd w:val="clear" w:color="auto" w:fill="auto"/>
            <w:noWrap/>
            <w:vAlign w:val="center"/>
          </w:tcPr>
          <w:p w14:paraId="581A4AE0">
            <w:pPr>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耐热性</w:t>
            </w:r>
          </w:p>
        </w:tc>
        <w:tc>
          <w:tcPr>
            <w:tcW w:w="4091" w:type="dxa"/>
            <w:tcBorders>
              <w:tl2br w:val="nil"/>
              <w:tr2bl w:val="nil"/>
            </w:tcBorders>
            <w:shd w:val="clear" w:color="auto" w:fill="auto"/>
            <w:vAlign w:val="center"/>
          </w:tcPr>
          <w:p w14:paraId="6E949074">
            <w:pPr>
              <w:snapToGrid w:val="0"/>
              <w:spacing w:line="300" w:lineRule="exact"/>
              <w:jc w:val="center"/>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rPr>
              <w:t>GB/T 10963.1—2020</w:t>
            </w:r>
          </w:p>
        </w:tc>
      </w:tr>
      <w:tr w14:paraId="2179C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972" w:type="dxa"/>
            <w:tcBorders>
              <w:tl2br w:val="nil"/>
              <w:tr2bl w:val="nil"/>
            </w:tcBorders>
            <w:shd w:val="clear" w:color="auto" w:fill="auto"/>
            <w:noWrap/>
            <w:vAlign w:val="center"/>
          </w:tcPr>
          <w:p w14:paraId="39343560">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2</w:t>
            </w:r>
          </w:p>
        </w:tc>
        <w:tc>
          <w:tcPr>
            <w:tcW w:w="3845" w:type="dxa"/>
            <w:tcBorders>
              <w:tl2br w:val="nil"/>
              <w:tr2bl w:val="nil"/>
            </w:tcBorders>
            <w:shd w:val="clear" w:color="auto" w:fill="auto"/>
            <w:noWrap/>
            <w:vAlign w:val="center"/>
          </w:tcPr>
          <w:p w14:paraId="4202234E">
            <w:pPr>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耐异常发热和耐燃</w:t>
            </w:r>
          </w:p>
        </w:tc>
        <w:tc>
          <w:tcPr>
            <w:tcW w:w="4091" w:type="dxa"/>
            <w:tcBorders>
              <w:tl2br w:val="nil"/>
              <w:tr2bl w:val="nil"/>
            </w:tcBorders>
            <w:shd w:val="clear" w:color="auto" w:fill="auto"/>
            <w:vAlign w:val="center"/>
          </w:tcPr>
          <w:p w14:paraId="1D23E112">
            <w:pPr>
              <w:snapToGrid w:val="0"/>
              <w:spacing w:line="300" w:lineRule="exact"/>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sz w:val="21"/>
                <w:szCs w:val="21"/>
              </w:rPr>
              <w:t>GB/T 10963.1—2020</w:t>
            </w:r>
          </w:p>
        </w:tc>
      </w:tr>
      <w:tr w14:paraId="5203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72" w:type="dxa"/>
            <w:tcBorders>
              <w:tl2br w:val="nil"/>
              <w:tr2bl w:val="nil"/>
            </w:tcBorders>
            <w:shd w:val="clear" w:color="auto" w:fill="auto"/>
            <w:noWrap/>
            <w:vAlign w:val="center"/>
          </w:tcPr>
          <w:p w14:paraId="0827FE37">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3</w:t>
            </w:r>
          </w:p>
        </w:tc>
        <w:tc>
          <w:tcPr>
            <w:tcW w:w="3845" w:type="dxa"/>
            <w:tcBorders>
              <w:tl2br w:val="nil"/>
              <w:tr2bl w:val="nil"/>
            </w:tcBorders>
            <w:shd w:val="clear" w:color="auto" w:fill="auto"/>
            <w:noWrap/>
            <w:vAlign w:val="center"/>
          </w:tcPr>
          <w:p w14:paraId="6D1207B4">
            <w:pPr>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脱扣特性</w:t>
            </w:r>
          </w:p>
        </w:tc>
        <w:tc>
          <w:tcPr>
            <w:tcW w:w="4091" w:type="dxa"/>
            <w:tcBorders>
              <w:tl2br w:val="nil"/>
              <w:tr2bl w:val="nil"/>
            </w:tcBorders>
            <w:shd w:val="clear" w:color="auto" w:fill="auto"/>
            <w:vAlign w:val="center"/>
          </w:tcPr>
          <w:p w14:paraId="00AE7E3F">
            <w:pPr>
              <w:snapToGrid w:val="0"/>
              <w:spacing w:line="300" w:lineRule="exact"/>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sz w:val="21"/>
                <w:szCs w:val="21"/>
              </w:rPr>
              <w:t>GB/T 10963.1—2020</w:t>
            </w:r>
          </w:p>
        </w:tc>
      </w:tr>
      <w:tr w14:paraId="7E87C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972" w:type="dxa"/>
            <w:tcBorders>
              <w:tl2br w:val="nil"/>
              <w:tr2bl w:val="nil"/>
            </w:tcBorders>
            <w:shd w:val="clear" w:color="auto" w:fill="auto"/>
            <w:noWrap/>
            <w:vAlign w:val="center"/>
          </w:tcPr>
          <w:p w14:paraId="38064D7D">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4</w:t>
            </w:r>
          </w:p>
        </w:tc>
        <w:tc>
          <w:tcPr>
            <w:tcW w:w="3845" w:type="dxa"/>
            <w:tcBorders>
              <w:tl2br w:val="nil"/>
              <w:tr2bl w:val="nil"/>
            </w:tcBorders>
            <w:shd w:val="clear" w:color="auto" w:fill="auto"/>
            <w:noWrap/>
            <w:vAlign w:val="center"/>
          </w:tcPr>
          <w:p w14:paraId="4BE10592">
            <w:pPr>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电气间隙和爬电距离</w:t>
            </w:r>
          </w:p>
        </w:tc>
        <w:tc>
          <w:tcPr>
            <w:tcW w:w="4091" w:type="dxa"/>
            <w:tcBorders>
              <w:tl2br w:val="nil"/>
              <w:tr2bl w:val="nil"/>
            </w:tcBorders>
            <w:shd w:val="clear" w:color="auto" w:fill="auto"/>
            <w:vAlign w:val="center"/>
          </w:tcPr>
          <w:p w14:paraId="75AA4C70">
            <w:pPr>
              <w:snapToGrid w:val="0"/>
              <w:spacing w:line="300" w:lineRule="exact"/>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sz w:val="21"/>
                <w:szCs w:val="21"/>
              </w:rPr>
              <w:t>GB/T 10963.1—2020</w:t>
            </w:r>
          </w:p>
        </w:tc>
      </w:tr>
      <w:tr w14:paraId="087C6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72" w:type="dxa"/>
            <w:tcBorders>
              <w:tl2br w:val="nil"/>
              <w:tr2bl w:val="nil"/>
            </w:tcBorders>
            <w:shd w:val="clear" w:color="auto" w:fill="auto"/>
            <w:noWrap/>
            <w:vAlign w:val="center"/>
          </w:tcPr>
          <w:p w14:paraId="7A0AAAF5">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5</w:t>
            </w:r>
          </w:p>
        </w:tc>
        <w:tc>
          <w:tcPr>
            <w:tcW w:w="3845" w:type="dxa"/>
            <w:tcBorders>
              <w:tl2br w:val="nil"/>
              <w:tr2bl w:val="nil"/>
            </w:tcBorders>
            <w:shd w:val="clear" w:color="auto" w:fill="auto"/>
            <w:noWrap/>
            <w:vAlign w:val="center"/>
          </w:tcPr>
          <w:p w14:paraId="1D7592D2">
            <w:pPr>
              <w:jc w:val="center"/>
              <w:rPr>
                <w:rFonts w:hint="default" w:ascii="Times New Roman" w:hAnsi="Times New Roman" w:eastAsia="宋体" w:cs="Times New Roman"/>
                <w:color w:val="0000FF"/>
                <w:kern w:val="2"/>
                <w:sz w:val="21"/>
                <w:szCs w:val="21"/>
                <w:lang w:val="en-US" w:eastAsia="zh-CN" w:bidi="ar-SA"/>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电击保护</w:t>
            </w:r>
          </w:p>
        </w:tc>
        <w:tc>
          <w:tcPr>
            <w:tcW w:w="4091" w:type="dxa"/>
            <w:tcBorders>
              <w:tl2br w:val="nil"/>
              <w:tr2bl w:val="nil"/>
            </w:tcBorders>
            <w:shd w:val="clear" w:color="auto" w:fill="auto"/>
            <w:vAlign w:val="center"/>
          </w:tcPr>
          <w:p w14:paraId="1FB45F38">
            <w:pPr>
              <w:snapToGrid w:val="0"/>
              <w:spacing w:line="300" w:lineRule="exact"/>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sz w:val="21"/>
                <w:szCs w:val="21"/>
              </w:rPr>
              <w:t>GB/T 10963.1—2020</w:t>
            </w:r>
          </w:p>
        </w:tc>
      </w:tr>
      <w:tr w14:paraId="5B3F2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72" w:type="dxa"/>
            <w:tcBorders>
              <w:tl2br w:val="nil"/>
              <w:tr2bl w:val="nil"/>
            </w:tcBorders>
            <w:shd w:val="clear" w:color="auto" w:fill="auto"/>
            <w:noWrap/>
            <w:vAlign w:val="center"/>
          </w:tcPr>
          <w:p w14:paraId="408BC284">
            <w:pPr>
              <w:keepNext w:val="0"/>
              <w:keepLines w:val="0"/>
              <w:pageBreakBefore w:val="0"/>
              <w:widowControl w:val="0"/>
              <w:kinsoku/>
              <w:wordWrap/>
              <w:overflowPunct/>
              <w:topLinePunct w:val="0"/>
              <w:autoSpaceDE/>
              <w:autoSpaceDN/>
              <w:bidi w:val="0"/>
              <w:adjustRightInd/>
              <w:snapToGrid w:val="0"/>
              <w:spacing w:line="440" w:lineRule="exact"/>
              <w:ind w:firstLine="0" w:firstLineChars="0"/>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6</w:t>
            </w:r>
          </w:p>
        </w:tc>
        <w:tc>
          <w:tcPr>
            <w:tcW w:w="3845" w:type="dxa"/>
            <w:tcBorders>
              <w:tl2br w:val="nil"/>
              <w:tr2bl w:val="nil"/>
            </w:tcBorders>
            <w:shd w:val="clear" w:color="auto" w:fill="auto"/>
            <w:noWrap/>
            <w:vAlign w:val="center"/>
          </w:tcPr>
          <w:p w14:paraId="31359CC7">
            <w:pPr>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介电强度</w:t>
            </w:r>
          </w:p>
        </w:tc>
        <w:tc>
          <w:tcPr>
            <w:tcW w:w="4091" w:type="dxa"/>
            <w:tcBorders>
              <w:tl2br w:val="nil"/>
              <w:tr2bl w:val="nil"/>
            </w:tcBorders>
            <w:shd w:val="clear" w:color="auto" w:fill="auto"/>
            <w:vAlign w:val="center"/>
          </w:tcPr>
          <w:p w14:paraId="1B8C93C3">
            <w:pPr>
              <w:snapToGrid w:val="0"/>
              <w:spacing w:line="300" w:lineRule="exact"/>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sz w:val="21"/>
                <w:szCs w:val="21"/>
              </w:rPr>
              <w:t>GB/T 10963.1—2020</w:t>
            </w:r>
          </w:p>
        </w:tc>
      </w:tr>
    </w:tbl>
    <w:p w14:paraId="30C26ED8">
      <w:pPr>
        <w:snapToGrid w:val="0"/>
        <w:spacing w:line="440" w:lineRule="exact"/>
        <w:ind w:firstLine="420" w:firstLineChars="200"/>
        <w:rPr>
          <w:rFonts w:hint="default" w:ascii="Times New Roman" w:hAnsi="Times New Roman" w:eastAsia="宋体" w:cs="Times New Roman"/>
          <w:color w:val="000000"/>
          <w:sz w:val="21"/>
          <w:szCs w:val="21"/>
        </w:rPr>
      </w:pPr>
    </w:p>
    <w:p w14:paraId="3DE77D4A">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执行企业标准、团体标准、地方标准的产品，检验项目参照上述内容执行。</w:t>
      </w:r>
    </w:p>
    <w:p w14:paraId="4A3D5DC2">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凡是注日期的文件，其随后所有的修改单（不包括勘误的内容）或修订版不适用于本细则。凡是不注日期的文件，其最新版本适用于本细则。</w:t>
      </w:r>
      <w:bookmarkEnd w:id="0"/>
    </w:p>
    <w:p w14:paraId="5DC7BD85">
      <w:pPr>
        <w:adjustRightInd w:val="0"/>
        <w:snapToGrid w:val="0"/>
        <w:spacing w:before="312" w:beforeLines="100" w:after="312" w:afterLines="100" w:line="440" w:lineRule="exact"/>
        <w:rPr>
          <w:rFonts w:hint="default" w:ascii="Times New Roman" w:hAnsi="Times New Roman" w:eastAsia="宋体" w:cs="Times New Roman"/>
          <w:b/>
          <w:bCs/>
          <w:color w:val="000000"/>
          <w:sz w:val="21"/>
          <w:szCs w:val="21"/>
        </w:rPr>
      </w:pPr>
      <w:r>
        <w:rPr>
          <w:rFonts w:hint="default" w:ascii="Times New Roman" w:hAnsi="Times New Roman" w:eastAsia="宋体" w:cs="Times New Roman"/>
          <w:b/>
          <w:bCs/>
          <w:color w:val="000000"/>
          <w:sz w:val="21"/>
          <w:szCs w:val="21"/>
        </w:rPr>
        <w:t>3判定规则</w:t>
      </w:r>
    </w:p>
    <w:p w14:paraId="35B95373">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3.1依据标准</w:t>
      </w:r>
    </w:p>
    <w:p w14:paraId="26519317">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10963.1—2020 电气附件家用及类似场所用过电流保护断路器第1部分：用于交流的断路器</w:t>
      </w:r>
    </w:p>
    <w:p w14:paraId="644B3AAA">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现行有效的企业标准、团体标准、地方标准及产品明示质量要求等。</w:t>
      </w:r>
    </w:p>
    <w:p w14:paraId="3E971B9E">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3.2判定原则</w:t>
      </w:r>
    </w:p>
    <w:p w14:paraId="4639AF92">
      <w:pPr>
        <w:snapToGrid w:val="0"/>
        <w:spacing w:line="440" w:lineRule="exact"/>
        <w:ind w:firstLine="420" w:firstLineChars="200"/>
        <w:rPr>
          <w:szCs w:val="21"/>
        </w:rPr>
      </w:pPr>
      <w:r>
        <w:rPr>
          <w:szCs w:val="21"/>
        </w:rPr>
        <w:t>经检验，检验项目全部合格，判定为被抽查产品所检项目未发现不合格；检验项目中任一项或一项以上不合格，判定为被抽查产品不合格。</w:t>
      </w:r>
    </w:p>
    <w:p w14:paraId="0FB520D8">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14:paraId="505F6C02">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14:paraId="3CDA9705">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14:paraId="31665E55">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14:paraId="190EDDA2">
      <w:pPr>
        <w:snapToGrid w:val="0"/>
        <w:spacing w:line="440" w:lineRule="exact"/>
        <w:ind w:firstLine="417" w:firstLineChars="199"/>
        <w:rPr>
          <w:szCs w:val="21"/>
        </w:rPr>
      </w:pPr>
      <w:r>
        <w:rPr>
          <w:szCs w:val="21"/>
        </w:rPr>
        <w:t>若被检产品明示的质量要求缺少本细则中检验项目依据的推荐性标准要求时，该项目不参与判定。</w:t>
      </w:r>
    </w:p>
    <w:p w14:paraId="2FA63592">
      <w:pPr>
        <w:snapToGrid w:val="0"/>
        <w:spacing w:line="440" w:lineRule="exact"/>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b/>
          <w:bCs/>
          <w:color w:val="000000"/>
          <w:sz w:val="21"/>
          <w:szCs w:val="21"/>
          <w:lang w:val="en-US" w:eastAsia="zh-CN"/>
        </w:rPr>
        <w:t>4 附则</w:t>
      </w:r>
    </w:p>
    <w:p w14:paraId="4262F99A">
      <w:pPr>
        <w:snapToGrid w:val="0"/>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val="en-US" w:eastAsia="zh-CN"/>
        </w:rPr>
        <w:t>本细则首次发布。</w:t>
      </w:r>
    </w:p>
    <w:sectPr>
      <w:headerReference r:id="rId3" w:type="default"/>
      <w:footerReference r:id="rId4" w:type="default"/>
      <w:footerReference r:id="rId5" w:type="even"/>
      <w:pgSz w:w="11906" w:h="16838"/>
      <w:pgMar w:top="1984" w:right="1474" w:bottom="1644" w:left="1474" w:header="851" w:footer="737"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embedRegular r:id="rId1" w:fontKey="{AC47F935-5090-43DB-A2B5-0A29A605B96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EDE29">
    <w:pPr>
      <w:pStyle w:val="4"/>
      <w:spacing w:before="240" w:after="24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F3D06">
    <w:pPr>
      <w:pStyle w:val="4"/>
      <w:framePr w:wrap="around" w:vAnchor="text" w:hAnchor="margin" w:xAlign="center" w:y="1"/>
      <w:spacing w:before="240" w:after="240"/>
      <w:rPr>
        <w:rStyle w:val="8"/>
      </w:rPr>
    </w:pPr>
    <w:r>
      <w:fldChar w:fldCharType="begin"/>
    </w:r>
    <w:r>
      <w:rPr>
        <w:rStyle w:val="8"/>
      </w:rPr>
      <w:instrText xml:space="preserve">PAGE  </w:instrText>
    </w:r>
    <w:r>
      <w:fldChar w:fldCharType="end"/>
    </w:r>
  </w:p>
  <w:p w14:paraId="6DB80091">
    <w:pPr>
      <w:pStyle w:val="4"/>
      <w:spacing w:before="240" w:after="240"/>
      <w:ind w:right="360"/>
    </w:pPr>
  </w:p>
  <w:p w14:paraId="67D4FC36">
    <w:pPr>
      <w:spacing w:before="240" w:after="2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CB4E3">
    <w:pPr>
      <w:pStyle w:val="5"/>
      <w:pBdr>
        <w:bottom w:val="none" w:color="auto" w:sz="0" w:space="0"/>
      </w:pBdr>
      <w:spacing w:before="240" w:after="240"/>
    </w:pPr>
  </w:p>
  <w:p w14:paraId="2AE6C7C8">
    <w:pP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kZWMzMDgyMzMzM2IxNDRkZGUwNjQ2NjczNjQzOTQifQ=="/>
  </w:docVars>
  <w:rsids>
    <w:rsidRoot w:val="00721A26"/>
    <w:rsid w:val="00061FFC"/>
    <w:rsid w:val="000A328F"/>
    <w:rsid w:val="00137F68"/>
    <w:rsid w:val="00192CC1"/>
    <w:rsid w:val="00196C81"/>
    <w:rsid w:val="001A6E94"/>
    <w:rsid w:val="0028155A"/>
    <w:rsid w:val="00304E23"/>
    <w:rsid w:val="003B483B"/>
    <w:rsid w:val="003C376A"/>
    <w:rsid w:val="00464D45"/>
    <w:rsid w:val="00534838"/>
    <w:rsid w:val="00580FC0"/>
    <w:rsid w:val="005851B8"/>
    <w:rsid w:val="005C65F9"/>
    <w:rsid w:val="00607940"/>
    <w:rsid w:val="00721A26"/>
    <w:rsid w:val="007B568F"/>
    <w:rsid w:val="00803FF8"/>
    <w:rsid w:val="00847012"/>
    <w:rsid w:val="008E3BA8"/>
    <w:rsid w:val="0090650E"/>
    <w:rsid w:val="00936E78"/>
    <w:rsid w:val="00AF5CB6"/>
    <w:rsid w:val="00CC7A98"/>
    <w:rsid w:val="00F539F4"/>
    <w:rsid w:val="00FF7840"/>
    <w:rsid w:val="026267B2"/>
    <w:rsid w:val="05BC04C3"/>
    <w:rsid w:val="088C7A39"/>
    <w:rsid w:val="0E767C99"/>
    <w:rsid w:val="11C2103E"/>
    <w:rsid w:val="12C63264"/>
    <w:rsid w:val="165D4F05"/>
    <w:rsid w:val="16BB0B04"/>
    <w:rsid w:val="18155A97"/>
    <w:rsid w:val="1A600CEF"/>
    <w:rsid w:val="1D412ACF"/>
    <w:rsid w:val="1D443644"/>
    <w:rsid w:val="1E737916"/>
    <w:rsid w:val="22AC6A73"/>
    <w:rsid w:val="22B847F8"/>
    <w:rsid w:val="26E06370"/>
    <w:rsid w:val="2DAB1A85"/>
    <w:rsid w:val="35261324"/>
    <w:rsid w:val="35610144"/>
    <w:rsid w:val="3AED2B51"/>
    <w:rsid w:val="3C6C7BA2"/>
    <w:rsid w:val="405F6613"/>
    <w:rsid w:val="419D2EDC"/>
    <w:rsid w:val="454079F1"/>
    <w:rsid w:val="50BE5FC4"/>
    <w:rsid w:val="5628010D"/>
    <w:rsid w:val="65C62F5D"/>
    <w:rsid w:val="65DC302A"/>
    <w:rsid w:val="684240AB"/>
    <w:rsid w:val="6DA16ED7"/>
    <w:rsid w:val="71955CC9"/>
    <w:rsid w:val="719C2B37"/>
    <w:rsid w:val="78DA2B92"/>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cs="宋体"/>
      <w:sz w:val="20"/>
      <w:szCs w:val="20"/>
      <w:lang w:eastAsia="en-US"/>
    </w:rPr>
  </w:style>
  <w:style w:type="paragraph" w:styleId="13">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669</Words>
  <Characters>774</Characters>
  <Lines>5</Lines>
  <Paragraphs>1</Paragraphs>
  <TotalTime>0</TotalTime>
  <ScaleCrop>false</ScaleCrop>
  <LinksUpToDate>false</LinksUpToDate>
  <CharactersWithSpaces>785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2024-04-23T02:14:00Z</dcterms:created>
  <dc:creator>微软用户</dc:creator>
  <cp:lastModifiedBy>企业用户_1137131855</cp:lastModifiedBy>
  <dcterms:modified xsi:type="dcterms:W3CDTF">2025-06-19T00:14:40Z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78E1853BFA5F4F0197792BDDC81A8694_13</vt:lpwstr>
  </property>
  <property fmtid="{D5CDD505-2E9C-101B-9397-08002B2CF9AE}" pid="4" name="KSOTemplateDocerSaveRecord">
    <vt:lpwstr>eyJoZGlkIjoiZGZkZWMzMDgyMzMzM2IxNDRkZGUwNjQ2NjczNjQzOTQiLCJ1c2VySWQiOiIxNjMxODUyMjg5In0=</vt:lpwstr>
  </property>
</Properties>
</file>