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A4D14">
      <w:pPr>
        <w:spacing w:line="440" w:lineRule="exact"/>
        <w:jc w:val="center"/>
        <w:rPr>
          <w:rFonts w:hint="eastAsia" w:ascii="方正公文小标宋" w:hAnsi="方正公文小标宋" w:eastAsia="方正公文小标宋" w:cs="方正公文小标宋"/>
          <w:color w:val="000000"/>
          <w:sz w:val="36"/>
          <w:szCs w:val="36"/>
        </w:rPr>
      </w:pPr>
      <w:bookmarkStart w:id="1" w:name="_GoBack"/>
      <w:r>
        <w:rPr>
          <w:rFonts w:hint="eastAsia" w:ascii="方正公文小标宋" w:hAnsi="方正公文小标宋" w:eastAsia="方正公文小标宋" w:cs="方正公文小标宋"/>
          <w:color w:val="000000"/>
          <w:sz w:val="36"/>
          <w:szCs w:val="36"/>
        </w:rPr>
        <w:t>西藏自治区室内加热器产品质量监督抽查实施细则</w:t>
      </w:r>
    </w:p>
    <w:p w14:paraId="2B29B97B">
      <w:pPr>
        <w:spacing w:line="440" w:lineRule="exact"/>
        <w:jc w:val="center"/>
        <w:rPr>
          <w:rFonts w:hint="eastAsia" w:ascii="方正公文小标宋" w:hAnsi="方正公文小标宋" w:eastAsia="方正公文小标宋" w:cs="方正公文小标宋"/>
          <w:color w:val="000000"/>
          <w:sz w:val="36"/>
          <w:szCs w:val="36"/>
        </w:rPr>
      </w:pPr>
      <w:r>
        <w:rPr>
          <w:rFonts w:hint="eastAsia" w:ascii="方正公文小标宋" w:hAnsi="方正公文小标宋" w:eastAsia="方正公文小标宋" w:cs="方正公文小标宋"/>
          <w:color w:val="000000"/>
          <w:sz w:val="36"/>
          <w:szCs w:val="36"/>
        </w:rPr>
        <w:t>（2025版）</w:t>
      </w:r>
    </w:p>
    <w:bookmarkEnd w:id="1"/>
    <w:p w14:paraId="206BBD79">
      <w:pPr>
        <w:adjustRightInd w:val="0"/>
        <w:snapToGrid w:val="0"/>
        <w:spacing w:before="312" w:beforeLines="100" w:after="312" w:afterLines="100" w:line="44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1 抽样方法</w:t>
      </w:r>
    </w:p>
    <w:p w14:paraId="5996F169">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以随机抽样的方式在被抽样生产者、销售者的待销产品中抽取。</w:t>
      </w:r>
    </w:p>
    <w:p w14:paraId="44550ED3">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随机数一般可使用随机数表等方法产生。</w:t>
      </w:r>
    </w:p>
    <w:p w14:paraId="025483B4">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每批次产品抽取样品</w:t>
      </w:r>
      <w:r>
        <w:rPr>
          <w:rFonts w:hint="eastAsia" w:asciiTheme="minorEastAsia" w:hAnsiTheme="minorEastAsia" w:eastAsiaTheme="minorEastAsia" w:cstheme="minorEastAsia"/>
          <w:color w:val="000000" w:themeColor="text1"/>
          <w:szCs w:val="21"/>
          <w14:textFill>
            <w14:solidFill>
              <w14:schemeClr w14:val="tx1"/>
            </w14:solidFill>
          </w14:textFill>
        </w:rPr>
        <w:t>3台，其中2台作为检验样品，1台作为备用样</w:t>
      </w:r>
      <w:r>
        <w:rPr>
          <w:rFonts w:hint="eastAsia" w:asciiTheme="minorEastAsia" w:hAnsiTheme="minorEastAsia" w:eastAsiaTheme="minorEastAsia" w:cstheme="minorEastAsia"/>
          <w:color w:val="000000"/>
          <w:szCs w:val="21"/>
        </w:rPr>
        <w:t>品。</w:t>
      </w:r>
    </w:p>
    <w:p w14:paraId="6990944D">
      <w:pPr>
        <w:adjustRightInd w:val="0"/>
        <w:snapToGrid w:val="0"/>
        <w:spacing w:before="312" w:beforeLines="100" w:after="312" w:afterLines="100" w:line="44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2 检验依据</w:t>
      </w:r>
      <w:bookmarkStart w:id="0" w:name="_Hlk28257335"/>
    </w:p>
    <w:tbl>
      <w:tblPr>
        <w:tblStyle w:val="6"/>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5577"/>
        <w:gridCol w:w="2410"/>
      </w:tblGrid>
      <w:tr w14:paraId="7D7F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blHeader/>
          <w:jc w:val="center"/>
        </w:trPr>
        <w:tc>
          <w:tcPr>
            <w:tcW w:w="821" w:type="dxa"/>
            <w:tcBorders>
              <w:tl2br w:val="nil"/>
              <w:tr2bl w:val="nil"/>
            </w:tcBorders>
            <w:shd w:val="clear" w:color="auto" w:fill="auto"/>
            <w:noWrap/>
            <w:vAlign w:val="center"/>
          </w:tcPr>
          <w:p w14:paraId="01D7A8AF">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序号</w:t>
            </w:r>
          </w:p>
        </w:tc>
        <w:tc>
          <w:tcPr>
            <w:tcW w:w="5577" w:type="dxa"/>
            <w:tcBorders>
              <w:tl2br w:val="nil"/>
              <w:tr2bl w:val="nil"/>
            </w:tcBorders>
            <w:shd w:val="clear" w:color="auto" w:fill="auto"/>
            <w:noWrap/>
            <w:vAlign w:val="center"/>
          </w:tcPr>
          <w:p w14:paraId="63C9AFA5">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检验项目</w:t>
            </w:r>
          </w:p>
        </w:tc>
        <w:tc>
          <w:tcPr>
            <w:tcW w:w="2410" w:type="dxa"/>
            <w:tcBorders>
              <w:tl2br w:val="nil"/>
              <w:tr2bl w:val="nil"/>
            </w:tcBorders>
            <w:shd w:val="clear" w:color="auto" w:fill="auto"/>
            <w:vAlign w:val="center"/>
          </w:tcPr>
          <w:p w14:paraId="1A1B48C0">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检验方法</w:t>
            </w:r>
          </w:p>
        </w:tc>
      </w:tr>
      <w:tr w14:paraId="000B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821" w:type="dxa"/>
            <w:tcBorders>
              <w:tl2br w:val="nil"/>
              <w:tr2bl w:val="nil"/>
            </w:tcBorders>
            <w:shd w:val="clear" w:color="auto" w:fill="auto"/>
            <w:noWrap/>
            <w:vAlign w:val="center"/>
          </w:tcPr>
          <w:p w14:paraId="7C217E38">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5577" w:type="dxa"/>
            <w:tcBorders>
              <w:tl2br w:val="nil"/>
              <w:tr2bl w:val="nil"/>
            </w:tcBorders>
            <w:shd w:val="clear" w:color="auto" w:fill="auto"/>
            <w:noWrap/>
            <w:vAlign w:val="center"/>
          </w:tcPr>
          <w:p w14:paraId="581A4AE0">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对触及带电部件的防护</w:t>
            </w:r>
          </w:p>
        </w:tc>
        <w:tc>
          <w:tcPr>
            <w:tcW w:w="2410" w:type="dxa"/>
            <w:tcBorders>
              <w:tl2br w:val="nil"/>
              <w:tr2bl w:val="nil"/>
            </w:tcBorders>
            <w:shd w:val="clear" w:color="auto" w:fill="auto"/>
            <w:vAlign w:val="center"/>
          </w:tcPr>
          <w:p w14:paraId="76DD7B6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65BC1482">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0763D4CA">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10A0E2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2179C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9343560">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5577" w:type="dxa"/>
            <w:tcBorders>
              <w:tl2br w:val="nil"/>
              <w:tr2bl w:val="nil"/>
            </w:tcBorders>
            <w:shd w:val="clear" w:color="auto" w:fill="auto"/>
            <w:noWrap/>
            <w:vAlign w:val="center"/>
          </w:tcPr>
          <w:p w14:paraId="441A3153">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输入功率和电流</w:t>
            </w:r>
          </w:p>
        </w:tc>
        <w:tc>
          <w:tcPr>
            <w:tcW w:w="2410" w:type="dxa"/>
            <w:tcBorders>
              <w:tl2br w:val="nil"/>
              <w:tr2bl w:val="nil"/>
            </w:tcBorders>
            <w:shd w:val="clear" w:color="auto" w:fill="auto"/>
            <w:vAlign w:val="center"/>
          </w:tcPr>
          <w:p w14:paraId="71C95F10">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5550CA85">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177624C3">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0BE3404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5203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0827FE37">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w:t>
            </w:r>
          </w:p>
        </w:tc>
        <w:tc>
          <w:tcPr>
            <w:tcW w:w="5577" w:type="dxa"/>
            <w:tcBorders>
              <w:tl2br w:val="nil"/>
              <w:tr2bl w:val="nil"/>
            </w:tcBorders>
            <w:shd w:val="clear" w:color="auto" w:fill="auto"/>
            <w:noWrap/>
            <w:vAlign w:val="center"/>
          </w:tcPr>
          <w:p w14:paraId="22D57F1B">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发热</w:t>
            </w:r>
          </w:p>
        </w:tc>
        <w:tc>
          <w:tcPr>
            <w:tcW w:w="2410" w:type="dxa"/>
            <w:tcBorders>
              <w:tl2br w:val="nil"/>
              <w:tr2bl w:val="nil"/>
            </w:tcBorders>
            <w:shd w:val="clear" w:color="auto" w:fill="auto"/>
            <w:vAlign w:val="center"/>
          </w:tcPr>
          <w:p w14:paraId="3A09401C">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0FED3E27">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1B7618B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00C6F0CE">
            <w:pPr>
              <w:snapToGrid w:val="0"/>
              <w:spacing w:line="300" w:lineRule="exact"/>
              <w:jc w:val="center"/>
              <w:rPr>
                <w:rFonts w:asciiTheme="minorEastAsia" w:hAnsiTheme="minorEastAsia" w:eastAsiaTheme="minorEastAsia" w:cstheme="minorEastAsia"/>
                <w:color w:val="0000FF"/>
                <w:szCs w:val="21"/>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7E87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8064D7D">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w:t>
            </w:r>
          </w:p>
        </w:tc>
        <w:tc>
          <w:tcPr>
            <w:tcW w:w="5577" w:type="dxa"/>
            <w:tcBorders>
              <w:tl2br w:val="nil"/>
              <w:tr2bl w:val="nil"/>
            </w:tcBorders>
            <w:shd w:val="clear" w:color="auto" w:fill="auto"/>
            <w:noWrap/>
            <w:vAlign w:val="center"/>
          </w:tcPr>
          <w:p w14:paraId="2C28137B">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工作温度下的泄漏电流和电气强度</w:t>
            </w:r>
          </w:p>
        </w:tc>
        <w:tc>
          <w:tcPr>
            <w:tcW w:w="2410" w:type="dxa"/>
            <w:tcBorders>
              <w:tl2br w:val="nil"/>
              <w:tr2bl w:val="nil"/>
            </w:tcBorders>
            <w:shd w:val="clear" w:color="auto" w:fill="auto"/>
            <w:vAlign w:val="center"/>
          </w:tcPr>
          <w:p w14:paraId="1A48EEE3">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7B012E3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7757C7B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0236155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087C6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A0AAAF5">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w:t>
            </w:r>
          </w:p>
        </w:tc>
        <w:tc>
          <w:tcPr>
            <w:tcW w:w="5577" w:type="dxa"/>
            <w:tcBorders>
              <w:tl2br w:val="nil"/>
              <w:tr2bl w:val="nil"/>
            </w:tcBorders>
            <w:shd w:val="clear" w:color="auto" w:fill="auto"/>
            <w:noWrap/>
            <w:vAlign w:val="center"/>
          </w:tcPr>
          <w:p w14:paraId="067235EC">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耐潮湿</w:t>
            </w:r>
          </w:p>
        </w:tc>
        <w:tc>
          <w:tcPr>
            <w:tcW w:w="2410" w:type="dxa"/>
            <w:tcBorders>
              <w:tl2br w:val="nil"/>
              <w:tr2bl w:val="nil"/>
            </w:tcBorders>
            <w:shd w:val="clear" w:color="auto" w:fill="auto"/>
            <w:vAlign w:val="center"/>
          </w:tcPr>
          <w:p w14:paraId="4B79D8A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1C796EEA">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79A0BE3A">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39C5948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5B3F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408BC284">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6</w:t>
            </w:r>
          </w:p>
        </w:tc>
        <w:tc>
          <w:tcPr>
            <w:tcW w:w="5577" w:type="dxa"/>
            <w:tcBorders>
              <w:tl2br w:val="nil"/>
              <w:tr2bl w:val="nil"/>
            </w:tcBorders>
            <w:shd w:val="clear" w:color="auto" w:fill="auto"/>
            <w:noWrap/>
            <w:vAlign w:val="center"/>
          </w:tcPr>
          <w:p w14:paraId="3A0F9786">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泄漏电流和电气强度</w:t>
            </w:r>
          </w:p>
        </w:tc>
        <w:tc>
          <w:tcPr>
            <w:tcW w:w="2410" w:type="dxa"/>
            <w:tcBorders>
              <w:tl2br w:val="nil"/>
              <w:tr2bl w:val="nil"/>
            </w:tcBorders>
            <w:shd w:val="clear" w:color="auto" w:fill="auto"/>
            <w:vAlign w:val="center"/>
          </w:tcPr>
          <w:p w14:paraId="711D6A28">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107E8263">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605CBB32">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54F5E828">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4907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6DCD943">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w:t>
            </w:r>
          </w:p>
        </w:tc>
        <w:tc>
          <w:tcPr>
            <w:tcW w:w="5577" w:type="dxa"/>
            <w:tcBorders>
              <w:tl2br w:val="nil"/>
              <w:tr2bl w:val="nil"/>
            </w:tcBorders>
            <w:shd w:val="clear" w:color="auto" w:fill="auto"/>
            <w:noWrap/>
            <w:vAlign w:val="center"/>
          </w:tcPr>
          <w:p w14:paraId="53FA612F">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非正常工作（G</w:t>
            </w:r>
            <w:r>
              <w:rPr>
                <w:rFonts w:asciiTheme="minorEastAsia" w:hAnsiTheme="minorEastAsia" w:eastAsiaTheme="minorEastAsia" w:cstheme="minorEastAsia"/>
                <w:color w:val="000000" w:themeColor="text1"/>
                <w:szCs w:val="21"/>
                <w14:textFill>
                  <w14:solidFill>
                    <w14:schemeClr w14:val="tx1"/>
                  </w14:solidFill>
                </w14:textFill>
              </w:rPr>
              <w:t>B 4706.1-2005</w:t>
            </w:r>
            <w:r>
              <w:rPr>
                <w:rFonts w:hint="eastAsia" w:asciiTheme="minorEastAsia" w:hAnsiTheme="minorEastAsia" w:eastAsiaTheme="minorEastAsia" w:cstheme="minorEastAsia"/>
                <w:color w:val="000000" w:themeColor="text1"/>
                <w:szCs w:val="21"/>
                <w14:textFill>
                  <w14:solidFill>
                    <w14:schemeClr w14:val="tx1"/>
                  </w14:solidFill>
                </w14:textFill>
              </w:rPr>
              <w:t>、</w:t>
            </w:r>
            <w:r>
              <w:rPr>
                <w:rFonts w:asciiTheme="minorEastAsia" w:hAnsiTheme="minorEastAsia" w:eastAsiaTheme="minorEastAsia" w:cstheme="minorEastAsia"/>
                <w:color w:val="000000" w:themeColor="text1"/>
                <w:szCs w:val="21"/>
                <w14:textFill>
                  <w14:solidFill>
                    <w14:schemeClr w14:val="tx1"/>
                  </w14:solidFill>
                </w14:textFill>
              </w:rPr>
              <w:t>GB4706.23-2007</w:t>
            </w:r>
            <w:r>
              <w:rPr>
                <w:rFonts w:hint="eastAsia" w:asciiTheme="minorEastAsia" w:hAnsiTheme="minorEastAsia" w:eastAsiaTheme="minorEastAsia" w:cstheme="minorEastAsia"/>
                <w:color w:val="000000" w:themeColor="text1"/>
                <w:szCs w:val="21"/>
                <w14:textFill>
                  <w14:solidFill>
                    <w14:schemeClr w14:val="tx1"/>
                  </w14:solidFill>
                </w14:textFill>
              </w:rPr>
              <w:t>不包括第 19.11.4条的试验;</w:t>
            </w:r>
            <w:r>
              <w:rPr>
                <w:rFonts w:asciiTheme="minorEastAsia" w:hAnsiTheme="minorEastAsia" w:eastAsiaTheme="minorEastAsia" w:cstheme="minorEastAsia"/>
                <w:color w:val="000000" w:themeColor="text1"/>
                <w:szCs w:val="21"/>
                <w14:textFill>
                  <w14:solidFill>
                    <w14:schemeClr w14:val="tx1"/>
                  </w14:solidFill>
                </w14:textFill>
              </w:rPr>
              <w:t>GB/T 4706.1-2024</w:t>
            </w:r>
            <w:r>
              <w:rPr>
                <w:rFonts w:hint="eastAsia" w:asciiTheme="minorEastAsia" w:hAnsiTheme="minorEastAsia" w:eastAsiaTheme="minorEastAsia" w:cstheme="minorEastAsia"/>
                <w:color w:val="000000" w:themeColor="text1"/>
                <w:szCs w:val="21"/>
                <w14:textFill>
                  <w14:solidFill>
                    <w14:schemeClr w14:val="tx1"/>
                  </w14:solidFill>
                </w14:textFill>
              </w:rPr>
              <w:t>、</w:t>
            </w:r>
            <w:r>
              <w:rPr>
                <w:rFonts w:asciiTheme="minorEastAsia" w:hAnsiTheme="minorEastAsia" w:eastAsiaTheme="minorEastAsia" w:cstheme="minorEastAsia"/>
                <w:color w:val="000000" w:themeColor="text1"/>
                <w:szCs w:val="21"/>
                <w14:textFill>
                  <w14:solidFill>
                    <w14:schemeClr w14:val="tx1"/>
                  </w14:solidFill>
                </w14:textFill>
              </w:rPr>
              <w:t xml:space="preserve">GB/T 4706.23-2024 </w:t>
            </w:r>
            <w:r>
              <w:rPr>
                <w:rFonts w:hint="eastAsia" w:asciiTheme="minorEastAsia" w:hAnsiTheme="minorEastAsia" w:eastAsiaTheme="minorEastAsia" w:cstheme="minorEastAsia"/>
                <w:color w:val="000000" w:themeColor="text1"/>
                <w:szCs w:val="21"/>
                <w14:textFill>
                  <w14:solidFill>
                    <w14:schemeClr w14:val="tx1"/>
                  </w14:solidFill>
                </w14:textFill>
              </w:rPr>
              <w:t>不包括第1</w:t>
            </w:r>
            <w:r>
              <w:rPr>
                <w:rFonts w:asciiTheme="minorEastAsia" w:hAnsiTheme="minorEastAsia" w:eastAsiaTheme="minorEastAsia" w:cstheme="minorEastAsia"/>
                <w:color w:val="000000" w:themeColor="text1"/>
                <w:szCs w:val="21"/>
                <w14:textFill>
                  <w14:solidFill>
                    <w14:schemeClr w14:val="tx1"/>
                  </w14:solidFill>
                </w14:textFill>
              </w:rPr>
              <w:t>9.11.4</w:t>
            </w:r>
            <w:r>
              <w:rPr>
                <w:rFonts w:hint="eastAsia" w:asciiTheme="minorEastAsia" w:hAnsiTheme="minorEastAsia" w:eastAsiaTheme="minorEastAsia" w:cstheme="minorEastAsia"/>
                <w:color w:val="000000" w:themeColor="text1"/>
                <w:szCs w:val="21"/>
                <w14:textFill>
                  <w14:solidFill>
                    <w14:schemeClr w14:val="tx1"/>
                  </w14:solidFill>
                </w14:textFill>
              </w:rPr>
              <w:t>、1</w:t>
            </w:r>
            <w:r>
              <w:rPr>
                <w:rFonts w:asciiTheme="minorEastAsia" w:hAnsiTheme="minorEastAsia" w:eastAsiaTheme="minorEastAsia" w:cstheme="minorEastAsia"/>
                <w:color w:val="000000" w:themeColor="text1"/>
                <w:szCs w:val="21"/>
                <w14:textFill>
                  <w14:solidFill>
                    <w14:schemeClr w14:val="tx1"/>
                  </w14:solidFill>
                </w14:textFill>
              </w:rPr>
              <w:t>9.113</w:t>
            </w:r>
            <w:r>
              <w:rPr>
                <w:rFonts w:hint="eastAsia" w:asciiTheme="minorEastAsia" w:hAnsiTheme="minorEastAsia" w:eastAsiaTheme="minorEastAsia" w:cstheme="minorEastAsia"/>
                <w:color w:val="000000" w:themeColor="text1"/>
                <w:szCs w:val="21"/>
                <w14:textFill>
                  <w14:solidFill>
                    <w14:schemeClr w14:val="tx1"/>
                  </w14:solidFill>
                </w14:textFill>
              </w:rPr>
              <w:t>、1</w:t>
            </w:r>
            <w:r>
              <w:rPr>
                <w:rFonts w:asciiTheme="minorEastAsia" w:hAnsiTheme="minorEastAsia" w:eastAsiaTheme="minorEastAsia" w:cstheme="minorEastAsia"/>
                <w:color w:val="000000" w:themeColor="text1"/>
                <w:szCs w:val="21"/>
                <w14:textFill>
                  <w14:solidFill>
                    <w14:schemeClr w14:val="tx1"/>
                  </w14:solidFill>
                </w14:textFill>
              </w:rPr>
              <w:t>9.117</w:t>
            </w:r>
            <w:r>
              <w:rPr>
                <w:rFonts w:hint="eastAsia" w:asciiTheme="minorEastAsia" w:hAnsiTheme="minorEastAsia" w:eastAsiaTheme="minorEastAsia" w:cstheme="minorEastAsia"/>
                <w:color w:val="000000" w:themeColor="text1"/>
                <w:szCs w:val="21"/>
                <w14:textFill>
                  <w14:solidFill>
                    <w14:schemeClr w14:val="tx1"/>
                  </w14:solidFill>
                </w14:textFill>
              </w:rPr>
              <w:t>条试验）</w:t>
            </w:r>
          </w:p>
        </w:tc>
        <w:tc>
          <w:tcPr>
            <w:tcW w:w="2410" w:type="dxa"/>
            <w:tcBorders>
              <w:tl2br w:val="nil"/>
              <w:tr2bl w:val="nil"/>
            </w:tcBorders>
            <w:shd w:val="clear" w:color="auto" w:fill="auto"/>
            <w:vAlign w:val="center"/>
          </w:tcPr>
          <w:p w14:paraId="2805DE8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0435CA5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1EA120E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3922E2F3">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7FF7B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57D7D046">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8</w:t>
            </w:r>
          </w:p>
        </w:tc>
        <w:tc>
          <w:tcPr>
            <w:tcW w:w="5577" w:type="dxa"/>
            <w:tcBorders>
              <w:tl2br w:val="nil"/>
              <w:tr2bl w:val="nil"/>
            </w:tcBorders>
            <w:shd w:val="clear" w:color="auto" w:fill="auto"/>
            <w:noWrap/>
            <w:vAlign w:val="center"/>
          </w:tcPr>
          <w:p w14:paraId="51A7F875">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稳定性和机械危险</w:t>
            </w:r>
          </w:p>
        </w:tc>
        <w:tc>
          <w:tcPr>
            <w:tcW w:w="2410" w:type="dxa"/>
            <w:tcBorders>
              <w:tl2br w:val="nil"/>
              <w:tr2bl w:val="nil"/>
            </w:tcBorders>
            <w:shd w:val="clear" w:color="auto" w:fill="auto"/>
            <w:vAlign w:val="center"/>
          </w:tcPr>
          <w:p w14:paraId="76A748BA">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0A9DFEA3">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6A3E587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0D2FADF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53AB9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63D16934">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9</w:t>
            </w:r>
          </w:p>
        </w:tc>
        <w:tc>
          <w:tcPr>
            <w:tcW w:w="5577" w:type="dxa"/>
            <w:tcBorders>
              <w:tl2br w:val="nil"/>
              <w:tr2bl w:val="nil"/>
            </w:tcBorders>
            <w:shd w:val="clear" w:color="auto" w:fill="auto"/>
            <w:noWrap/>
            <w:vAlign w:val="center"/>
          </w:tcPr>
          <w:p w14:paraId="3324FD88">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机械强度</w:t>
            </w:r>
          </w:p>
        </w:tc>
        <w:tc>
          <w:tcPr>
            <w:tcW w:w="2410" w:type="dxa"/>
            <w:tcBorders>
              <w:tl2br w:val="nil"/>
              <w:tr2bl w:val="nil"/>
            </w:tcBorders>
            <w:shd w:val="clear" w:color="auto" w:fill="auto"/>
            <w:vAlign w:val="center"/>
          </w:tcPr>
          <w:p w14:paraId="26DEFE9C">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53DA63F6">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7C39C488">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3844C63">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2262C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D090246">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10</w:t>
            </w:r>
          </w:p>
        </w:tc>
        <w:tc>
          <w:tcPr>
            <w:tcW w:w="5577" w:type="dxa"/>
            <w:tcBorders>
              <w:tl2br w:val="nil"/>
              <w:tr2bl w:val="nil"/>
            </w:tcBorders>
            <w:shd w:val="clear" w:color="auto" w:fill="auto"/>
            <w:noWrap/>
            <w:vAlign w:val="center"/>
          </w:tcPr>
          <w:p w14:paraId="197B4BF7">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结构（不包括第22.46条的试验）</w:t>
            </w:r>
          </w:p>
        </w:tc>
        <w:tc>
          <w:tcPr>
            <w:tcW w:w="2410" w:type="dxa"/>
            <w:tcBorders>
              <w:tl2br w:val="nil"/>
              <w:tr2bl w:val="nil"/>
            </w:tcBorders>
            <w:shd w:val="clear" w:color="auto" w:fill="auto"/>
            <w:vAlign w:val="center"/>
          </w:tcPr>
          <w:p w14:paraId="3BEB670F">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50DD8EE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5EC10A30">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A7706A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6AD0D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06BBE8F1">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11</w:t>
            </w:r>
          </w:p>
        </w:tc>
        <w:tc>
          <w:tcPr>
            <w:tcW w:w="5577" w:type="dxa"/>
            <w:tcBorders>
              <w:tl2br w:val="nil"/>
              <w:tr2bl w:val="nil"/>
            </w:tcBorders>
            <w:shd w:val="clear" w:color="auto" w:fill="auto"/>
            <w:noWrap/>
            <w:vAlign w:val="center"/>
          </w:tcPr>
          <w:p w14:paraId="4B481193">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内部布线</w:t>
            </w:r>
          </w:p>
        </w:tc>
        <w:tc>
          <w:tcPr>
            <w:tcW w:w="2410" w:type="dxa"/>
            <w:tcBorders>
              <w:tl2br w:val="nil"/>
              <w:tr2bl w:val="nil"/>
            </w:tcBorders>
            <w:shd w:val="clear" w:color="auto" w:fill="auto"/>
            <w:vAlign w:val="center"/>
          </w:tcPr>
          <w:p w14:paraId="10DE8B83">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449AE23A">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04E5A96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14B5AEC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1C8E8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1AE4445A">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5577" w:type="dxa"/>
            <w:tcBorders>
              <w:tl2br w:val="nil"/>
              <w:tr2bl w:val="nil"/>
            </w:tcBorders>
            <w:shd w:val="clear" w:color="auto" w:fill="auto"/>
            <w:noWrap/>
            <w:vAlign w:val="center"/>
          </w:tcPr>
          <w:p w14:paraId="5685512E">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电源连接和外部软线</w:t>
            </w:r>
          </w:p>
        </w:tc>
        <w:tc>
          <w:tcPr>
            <w:tcW w:w="2410" w:type="dxa"/>
            <w:tcBorders>
              <w:tl2br w:val="nil"/>
              <w:tr2bl w:val="nil"/>
            </w:tcBorders>
            <w:shd w:val="clear" w:color="auto" w:fill="auto"/>
            <w:vAlign w:val="center"/>
          </w:tcPr>
          <w:p w14:paraId="756D4864">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7C7F09E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30ACD4F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6AD1AF06">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53112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8BB359D">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13</w:t>
            </w:r>
          </w:p>
        </w:tc>
        <w:tc>
          <w:tcPr>
            <w:tcW w:w="5577" w:type="dxa"/>
            <w:tcBorders>
              <w:tl2br w:val="nil"/>
              <w:tr2bl w:val="nil"/>
            </w:tcBorders>
            <w:shd w:val="clear" w:color="auto" w:fill="auto"/>
            <w:noWrap/>
            <w:vAlign w:val="center"/>
          </w:tcPr>
          <w:p w14:paraId="2FEAA148">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外部导线用接线端子或外部导体用接线端子</w:t>
            </w:r>
          </w:p>
        </w:tc>
        <w:tc>
          <w:tcPr>
            <w:tcW w:w="2410" w:type="dxa"/>
            <w:tcBorders>
              <w:tl2br w:val="nil"/>
              <w:tr2bl w:val="nil"/>
            </w:tcBorders>
            <w:shd w:val="clear" w:color="auto" w:fill="auto"/>
            <w:vAlign w:val="center"/>
          </w:tcPr>
          <w:p w14:paraId="3E0F9BC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77D7EF1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31FB64D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1644FB5A">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0D2A6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335D52CE">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14</w:t>
            </w:r>
          </w:p>
        </w:tc>
        <w:tc>
          <w:tcPr>
            <w:tcW w:w="5577" w:type="dxa"/>
            <w:tcBorders>
              <w:tl2br w:val="nil"/>
              <w:tr2bl w:val="nil"/>
            </w:tcBorders>
            <w:shd w:val="clear" w:color="auto" w:fill="auto"/>
            <w:noWrap/>
            <w:vAlign w:val="center"/>
          </w:tcPr>
          <w:p w14:paraId="5996A9AE">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接地措施</w:t>
            </w:r>
          </w:p>
        </w:tc>
        <w:tc>
          <w:tcPr>
            <w:tcW w:w="2410" w:type="dxa"/>
            <w:tcBorders>
              <w:tl2br w:val="nil"/>
              <w:tr2bl w:val="nil"/>
            </w:tcBorders>
            <w:shd w:val="clear" w:color="auto" w:fill="auto"/>
            <w:vAlign w:val="center"/>
          </w:tcPr>
          <w:p w14:paraId="4C4FBF4C">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2A6A9DD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573591F9">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371CA24D">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3985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66ADD3EF">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15</w:t>
            </w:r>
          </w:p>
        </w:tc>
        <w:tc>
          <w:tcPr>
            <w:tcW w:w="5577" w:type="dxa"/>
            <w:tcBorders>
              <w:tl2br w:val="nil"/>
              <w:tr2bl w:val="nil"/>
            </w:tcBorders>
            <w:shd w:val="clear" w:color="auto" w:fill="auto"/>
            <w:noWrap/>
            <w:vAlign w:val="center"/>
          </w:tcPr>
          <w:p w14:paraId="29801DB9">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螺钉和连接</w:t>
            </w:r>
          </w:p>
        </w:tc>
        <w:tc>
          <w:tcPr>
            <w:tcW w:w="2410" w:type="dxa"/>
            <w:tcBorders>
              <w:tl2br w:val="nil"/>
              <w:tr2bl w:val="nil"/>
            </w:tcBorders>
            <w:shd w:val="clear" w:color="auto" w:fill="auto"/>
            <w:vAlign w:val="center"/>
          </w:tcPr>
          <w:p w14:paraId="4FD21FAB">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4B15CDB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1E82DE13">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38970738">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2981F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A4B21E3">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16</w:t>
            </w:r>
          </w:p>
        </w:tc>
        <w:tc>
          <w:tcPr>
            <w:tcW w:w="5577" w:type="dxa"/>
            <w:tcBorders>
              <w:tl2br w:val="nil"/>
              <w:tr2bl w:val="nil"/>
            </w:tcBorders>
            <w:shd w:val="clear" w:color="auto" w:fill="auto"/>
            <w:noWrap/>
            <w:vAlign w:val="center"/>
          </w:tcPr>
          <w:p w14:paraId="6FAF3FC6">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电气间隙、爬电距离和固体绝缘</w:t>
            </w:r>
          </w:p>
        </w:tc>
        <w:tc>
          <w:tcPr>
            <w:tcW w:w="2410" w:type="dxa"/>
            <w:tcBorders>
              <w:tl2br w:val="nil"/>
              <w:tr2bl w:val="nil"/>
            </w:tcBorders>
            <w:shd w:val="clear" w:color="auto" w:fill="auto"/>
            <w:vAlign w:val="center"/>
          </w:tcPr>
          <w:p w14:paraId="22970031">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15EF17D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10735EBE">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2D24DFF8">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r w14:paraId="75F8B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1" w:type="dxa"/>
            <w:tcBorders>
              <w:tl2br w:val="nil"/>
              <w:tr2bl w:val="nil"/>
            </w:tcBorders>
            <w:shd w:val="clear" w:color="auto" w:fill="auto"/>
            <w:noWrap/>
            <w:vAlign w:val="center"/>
          </w:tcPr>
          <w:p w14:paraId="730FC5A9">
            <w:pPr>
              <w:snapToGrid w:val="0"/>
              <w:spacing w:line="4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17</w:t>
            </w:r>
          </w:p>
        </w:tc>
        <w:tc>
          <w:tcPr>
            <w:tcW w:w="5577" w:type="dxa"/>
            <w:tcBorders>
              <w:tl2br w:val="nil"/>
              <w:tr2bl w:val="nil"/>
            </w:tcBorders>
            <w:shd w:val="clear" w:color="auto" w:fill="auto"/>
            <w:noWrap/>
            <w:vAlign w:val="center"/>
          </w:tcPr>
          <w:p w14:paraId="62ACB5A6">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耐热和耐燃</w:t>
            </w:r>
          </w:p>
        </w:tc>
        <w:tc>
          <w:tcPr>
            <w:tcW w:w="2410" w:type="dxa"/>
            <w:tcBorders>
              <w:tl2br w:val="nil"/>
              <w:tr2bl w:val="nil"/>
            </w:tcBorders>
            <w:shd w:val="clear" w:color="auto" w:fill="auto"/>
            <w:vAlign w:val="center"/>
          </w:tcPr>
          <w:p w14:paraId="43F36AA7">
            <w:pPr>
              <w:snapToGrid w:val="0"/>
              <w:spacing w:line="300" w:lineRule="exact"/>
              <w:jc w:val="center"/>
              <w:textAlignment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4706.1-2005</w:t>
            </w:r>
          </w:p>
          <w:p w14:paraId="6C4F7204">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4706.23-2007</w:t>
            </w:r>
          </w:p>
          <w:p w14:paraId="3ED5EC21">
            <w:pPr>
              <w:snapToGrid w:val="0"/>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asciiTheme="minorEastAsia" w:hAnsiTheme="minorEastAsia" w:eastAsiaTheme="minorEastAsia" w:cstheme="minorEastAsia"/>
                <w:color w:val="000000" w:themeColor="text1"/>
                <w:szCs w:val="21"/>
                <w14:textFill>
                  <w14:solidFill>
                    <w14:schemeClr w14:val="tx1"/>
                  </w14:solidFill>
                </w14:textFill>
              </w:rPr>
              <w:t>GB/T 4706.1-2024</w:t>
            </w:r>
          </w:p>
          <w:p w14:paraId="7A129FBD">
            <w:pPr>
              <w:snapToGrid w:val="0"/>
              <w:spacing w:line="300" w:lineRule="exact"/>
              <w:jc w:val="center"/>
              <w:textAlignment w:val="center"/>
              <w:rPr>
                <w:rFonts w:asciiTheme="minorEastAsia" w:hAnsiTheme="minorEastAsia" w:eastAsiaTheme="minorEastAsia" w:cstheme="minorEastAsia"/>
                <w:color w:val="0000FF"/>
                <w:szCs w:val="21"/>
              </w:rPr>
            </w:pPr>
            <w:r>
              <w:rPr>
                <w:rFonts w:asciiTheme="minorEastAsia" w:hAnsiTheme="minorEastAsia" w:eastAsiaTheme="minorEastAsia" w:cstheme="minorEastAsia"/>
                <w:color w:val="000000" w:themeColor="text1"/>
                <w:szCs w:val="21"/>
                <w14:textFill>
                  <w14:solidFill>
                    <w14:schemeClr w14:val="tx1"/>
                  </w14:solidFill>
                </w14:textFill>
              </w:rPr>
              <w:t>GB/T 4706.23-2024</w:t>
            </w:r>
          </w:p>
        </w:tc>
      </w:tr>
    </w:tbl>
    <w:p w14:paraId="5732781B">
      <w:pPr>
        <w:snapToGrid w:val="0"/>
        <w:spacing w:line="440" w:lineRule="exact"/>
        <w:ind w:firstLine="420" w:firstLineChars="200"/>
        <w:rPr>
          <w:rFonts w:asciiTheme="minorEastAsia" w:hAnsiTheme="minorEastAsia" w:eastAsiaTheme="minorEastAsia" w:cstheme="minorEastAsia"/>
          <w:color w:val="000000"/>
          <w:szCs w:val="21"/>
        </w:rPr>
      </w:pPr>
    </w:p>
    <w:p w14:paraId="3DE77D4A">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执行企业标准、团体标准、地方标准的产品，检验项目参照上述内容执行。</w:t>
      </w:r>
    </w:p>
    <w:p w14:paraId="4A3D5DC2">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凡是注日期的文件，其随后所有的修改单（不包括勘误的内容）或修订版不适用于本细则。凡是不注日期的文件，其最新版本适用于本细则。</w:t>
      </w:r>
      <w:bookmarkEnd w:id="0"/>
    </w:p>
    <w:p w14:paraId="5DC7BD85">
      <w:pPr>
        <w:adjustRightInd w:val="0"/>
        <w:snapToGrid w:val="0"/>
        <w:spacing w:before="312" w:beforeLines="100" w:after="312" w:afterLines="100" w:line="44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3判定规则</w:t>
      </w:r>
    </w:p>
    <w:p w14:paraId="35B95373">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3.1依据标准</w:t>
      </w:r>
    </w:p>
    <w:p w14:paraId="4D1B4929">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4706.1-2005 家用和类似用途电器的安全  第1部分：通用要求</w:t>
      </w:r>
    </w:p>
    <w:p w14:paraId="3E58D4CF">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4706.23-2007 家用和类似用途电器的安全 第2部分:室内加热器的特殊要求</w:t>
      </w:r>
    </w:p>
    <w:p w14:paraId="5093BF8E">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44246-2024 家用和类似用途电器、体育用品的电气部分及电玩具 安全技术规范</w:t>
      </w:r>
    </w:p>
    <w:p w14:paraId="4F2891FD">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4706.1-2024 家用和类似用途电器的安全 第1部分:通用要求</w:t>
      </w:r>
    </w:p>
    <w:p w14:paraId="627563DC">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w:t>
      </w:r>
      <w:r>
        <w:rPr>
          <w:rFonts w:asciiTheme="minorEastAsia" w:hAnsiTheme="minorEastAsia" w:eastAsiaTheme="minorEastAsia" w:cstheme="minorEastAsia"/>
          <w:color w:val="000000"/>
          <w:szCs w:val="21"/>
        </w:rPr>
        <w:t xml:space="preserve">B/T 4706.23-2024 </w:t>
      </w:r>
      <w:r>
        <w:rPr>
          <w:rFonts w:hint="eastAsia" w:asciiTheme="minorEastAsia" w:hAnsiTheme="minorEastAsia" w:eastAsiaTheme="minorEastAsia" w:cstheme="minorEastAsia"/>
          <w:color w:val="000000"/>
          <w:szCs w:val="21"/>
        </w:rPr>
        <w:t>家用和类似用途电器的安全 第23部分:室内加热器的特殊要求</w:t>
      </w:r>
    </w:p>
    <w:p w14:paraId="644B3AAA">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现行有效的企业标准、团体标准、地方标准及产品明示质量要求等。</w:t>
      </w:r>
    </w:p>
    <w:p w14:paraId="3E971B9E">
      <w:pPr>
        <w:snapToGrid w:val="0"/>
        <w:spacing w:line="44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3.2判定原则</w:t>
      </w:r>
    </w:p>
    <w:p w14:paraId="266AE422">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经检验，检验项目全部合格，判定为被抽查产品所检项目未发现不合格；检验项目中任一项或一项以上不合格，判定为被抽查产品不合格。</w:t>
      </w:r>
    </w:p>
    <w:p w14:paraId="6DBEB747">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若被检产品明示的质量要求高于本细则中检验项目依据的标准要求时，应按被检产品明示的质量要求判定。</w:t>
      </w:r>
    </w:p>
    <w:p w14:paraId="488A1135">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若被检产品明示的质量要求低于本细则中检验项目依据的强制性标准要求时，应按照强制性标准要求判定。</w:t>
      </w:r>
    </w:p>
    <w:p w14:paraId="73C3062D">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若被检产品明示的质量要求低于或包含本细则中检验项目依据的推荐性标准要求时，应以被检产品明示的质量要求判定。</w:t>
      </w:r>
    </w:p>
    <w:p w14:paraId="1BD0EA14">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若被检产品明示的质量要求缺少本细则中检验项目依据的强制性标准要求时，应按照强制性标准要求判定。</w:t>
      </w:r>
    </w:p>
    <w:p w14:paraId="38B0D350">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若被检产品明示的质量要求缺少本细则中检验项目依据的推荐性标准要求时，该项目不参与判定。</w:t>
      </w:r>
    </w:p>
    <w:p w14:paraId="209F3350">
      <w:pPr>
        <w:adjustRightInd w:val="0"/>
        <w:snapToGrid w:val="0"/>
        <w:spacing w:before="312" w:beforeLines="100" w:after="312" w:afterLines="100" w:line="440" w:lineRule="exact"/>
        <w:rPr>
          <w:rFonts w:hint="eastAsia" w:ascii="宋体" w:hAnsi="宋体" w:cs="宋体"/>
          <w:b/>
          <w:bCs/>
          <w:color w:val="000000"/>
          <w:szCs w:val="21"/>
        </w:rPr>
      </w:pPr>
      <w:r>
        <w:rPr>
          <w:rFonts w:hint="eastAsia" w:ascii="宋体" w:hAnsi="宋体" w:cs="宋体"/>
          <w:b/>
          <w:bCs/>
          <w:color w:val="000000"/>
          <w:szCs w:val="21"/>
        </w:rPr>
        <w:t>4 附则</w:t>
      </w:r>
    </w:p>
    <w:p w14:paraId="504CB5E4">
      <w:pPr>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本细则代替西藏自治区市场监督管理局关于发布《产品质量监督抽查实施细则(2024版)》(第一批)的通告中的《西藏自治区室内加热器产品质量监督抽查实施细则（2024版）》。</w:t>
      </w:r>
    </w:p>
    <w:p w14:paraId="44B801FD">
      <w:pPr>
        <w:snapToGrid w:val="0"/>
        <w:spacing w:line="440" w:lineRule="exact"/>
        <w:rPr>
          <w:rFonts w:asciiTheme="minorEastAsia" w:hAnsiTheme="minorEastAsia" w:eastAsiaTheme="minorEastAsia" w:cstheme="minorEastAsia"/>
          <w:color w:val="000000"/>
          <w:szCs w:val="21"/>
        </w:rPr>
      </w:pP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1" w:fontKey="{3ACCCF37-5CE9-482E-81E6-D877A5590A7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EDE29">
    <w:pPr>
      <w:pStyle w:val="4"/>
      <w:spacing w:before="240" w:after="2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F3D06">
    <w:pPr>
      <w:pStyle w:val="4"/>
      <w:framePr w:wrap="around" w:vAnchor="text" w:hAnchor="margin" w:xAlign="center" w:y="1"/>
      <w:spacing w:before="240" w:after="240"/>
      <w:rPr>
        <w:rStyle w:val="8"/>
      </w:rPr>
    </w:pPr>
    <w:r>
      <w:fldChar w:fldCharType="begin"/>
    </w:r>
    <w:r>
      <w:rPr>
        <w:rStyle w:val="8"/>
      </w:rPr>
      <w:instrText xml:space="preserve">PAGE  </w:instrText>
    </w:r>
    <w:r>
      <w:fldChar w:fldCharType="end"/>
    </w:r>
  </w:p>
  <w:p w14:paraId="6DB80091">
    <w:pPr>
      <w:pStyle w:val="4"/>
      <w:spacing w:before="240" w:after="240"/>
      <w:ind w:right="360"/>
    </w:pPr>
  </w:p>
  <w:p w14:paraId="67D4FC36">
    <w:pPr>
      <w:spacing w:before="240" w:after="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CB4E3">
    <w:pPr>
      <w:pStyle w:val="5"/>
      <w:pBdr>
        <w:bottom w:val="none" w:color="auto" w:sz="0" w:space="0"/>
      </w:pBdr>
      <w:spacing w:before="240" w:after="240"/>
    </w:pPr>
  </w:p>
  <w:p w14:paraId="2AE6C7C8">
    <w:pP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ZWMzMDgyMzMzM2IxNDRkZGUwNjQ2NjczNjQzOTQifQ=="/>
  </w:docVars>
  <w:rsids>
    <w:rsidRoot w:val="00721A26"/>
    <w:rsid w:val="00061FFC"/>
    <w:rsid w:val="0007549B"/>
    <w:rsid w:val="00096204"/>
    <w:rsid w:val="000A328F"/>
    <w:rsid w:val="00134303"/>
    <w:rsid w:val="00137F68"/>
    <w:rsid w:val="00171353"/>
    <w:rsid w:val="00192CC1"/>
    <w:rsid w:val="001A6E94"/>
    <w:rsid w:val="0027296B"/>
    <w:rsid w:val="0028155A"/>
    <w:rsid w:val="002872C0"/>
    <w:rsid w:val="00304E23"/>
    <w:rsid w:val="003B483B"/>
    <w:rsid w:val="003C376A"/>
    <w:rsid w:val="00421ABC"/>
    <w:rsid w:val="00464D45"/>
    <w:rsid w:val="004931E0"/>
    <w:rsid w:val="00534838"/>
    <w:rsid w:val="00580FC0"/>
    <w:rsid w:val="005851B8"/>
    <w:rsid w:val="005C65F9"/>
    <w:rsid w:val="00607940"/>
    <w:rsid w:val="007058A7"/>
    <w:rsid w:val="00721A26"/>
    <w:rsid w:val="007770EF"/>
    <w:rsid w:val="007B568F"/>
    <w:rsid w:val="007F2FD5"/>
    <w:rsid w:val="00803FF8"/>
    <w:rsid w:val="00847012"/>
    <w:rsid w:val="008E3BA8"/>
    <w:rsid w:val="0090650E"/>
    <w:rsid w:val="00936E78"/>
    <w:rsid w:val="00A1330C"/>
    <w:rsid w:val="00A5203D"/>
    <w:rsid w:val="00A63F90"/>
    <w:rsid w:val="00AF5CB6"/>
    <w:rsid w:val="00B52A98"/>
    <w:rsid w:val="00C7218D"/>
    <w:rsid w:val="00CC7A98"/>
    <w:rsid w:val="00F539F4"/>
    <w:rsid w:val="00FF7840"/>
    <w:rsid w:val="05BC04C3"/>
    <w:rsid w:val="088C7A39"/>
    <w:rsid w:val="12C63264"/>
    <w:rsid w:val="165D4F05"/>
    <w:rsid w:val="18155A97"/>
    <w:rsid w:val="1A600CEF"/>
    <w:rsid w:val="26E06370"/>
    <w:rsid w:val="2DAB1A85"/>
    <w:rsid w:val="35610144"/>
    <w:rsid w:val="3AED2B51"/>
    <w:rsid w:val="3B755C00"/>
    <w:rsid w:val="3C6C7BA2"/>
    <w:rsid w:val="405F6613"/>
    <w:rsid w:val="50BE5FC4"/>
    <w:rsid w:val="55721ACE"/>
    <w:rsid w:val="5628010D"/>
    <w:rsid w:val="5C4A2AB2"/>
    <w:rsid w:val="65C62F5D"/>
    <w:rsid w:val="65DC302A"/>
    <w:rsid w:val="684240AB"/>
    <w:rsid w:val="6DA16ED7"/>
    <w:rsid w:val="719C2B37"/>
    <w:rsid w:val="78DA2B92"/>
    <w:rsid w:val="7DF729A7"/>
    <w:rsid w:val="EED7258F"/>
    <w:rsid w:val="F6FF5BB5"/>
    <w:rsid w:val="FFBEA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ind w:firstLine="600" w:firstLineChars="200"/>
    </w:pPr>
    <w:rPr>
      <w:rFonts w:eastAsia="仿宋_GB2312"/>
      <w:sz w:val="30"/>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qFormat/>
    <w:uiPriority w:val="99"/>
    <w:rPr>
      <w:sz w:val="18"/>
      <w:szCs w:val="18"/>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cs="宋体"/>
      <w:sz w:val="20"/>
      <w:szCs w:val="20"/>
      <w:lang w:eastAsia="en-US"/>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4</Pages>
  <Words>1098</Words>
  <Characters>2109</Characters>
  <Lines>16</Lines>
  <Paragraphs>4</Paragraphs>
  <TotalTime>4</TotalTime>
  <ScaleCrop>false</ScaleCrop>
  <LinksUpToDate>false</LinksUpToDate>
  <CharactersWithSpaces>2201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2025-06-18T05:48:00Z</dcterms:created>
  <dc:creator>微软用户</dc:creator>
  <cp:lastModifiedBy>企业用户_1137131855</cp:lastModifiedBy>
  <dcterms:modified xsi:type="dcterms:W3CDTF">2025-06-19T00:10:24Z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78E1853BFA5F4F0197792BDDC81A8694_13</vt:lpwstr>
  </property>
  <property fmtid="{D5CDD505-2E9C-101B-9397-08002B2CF9AE}" pid="4" name="KSOTemplateDocerSaveRecord">
    <vt:lpwstr>eyJoZGlkIjoiZGZkZWMzMDgyMzMzM2IxNDRkZGUwNjQ2NjczNjQzOTQiLCJ1c2VySWQiOiIxNjMxODUyMjg5In0=</vt:lpwstr>
  </property>
</Properties>
</file>