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方正小标宋简体" w:eastAsia="方正小标宋简体"/>
          <w:sz w:val="36"/>
          <w:szCs w:val="36"/>
        </w:rPr>
      </w:pPr>
      <w:r>
        <w:rPr>
          <w:rFonts w:hint="eastAsia" w:ascii="方正小标宋简体" w:eastAsia="方正小标宋简体"/>
          <w:sz w:val="36"/>
          <w:szCs w:val="36"/>
        </w:rPr>
        <w:t>西藏自治区钢丝绳产品质量监督抽查实施细则</w:t>
      </w:r>
    </w:p>
    <w:p>
      <w:pPr>
        <w:spacing w:line="440" w:lineRule="exact"/>
        <w:jc w:val="center"/>
        <w:rPr>
          <w:rFonts w:ascii="方正小标宋简体" w:eastAsia="方正小标宋简体"/>
          <w:sz w:val="36"/>
          <w:szCs w:val="36"/>
        </w:rPr>
      </w:pPr>
      <w:r>
        <w:rPr>
          <w:rFonts w:hint="eastAsia" w:ascii="方正小标宋简体" w:eastAsia="方正小标宋简体"/>
          <w:sz w:val="36"/>
          <w:szCs w:val="36"/>
        </w:rPr>
        <w:t>（2025版）</w:t>
      </w:r>
    </w:p>
    <w:p>
      <w:pPr>
        <w:spacing w:line="440" w:lineRule="exact"/>
      </w:pPr>
    </w:p>
    <w:p>
      <w:pPr>
        <w:snapToGrid w:val="0"/>
        <w:spacing w:line="440" w:lineRule="exact"/>
        <w:rPr>
          <w:rFonts w:ascii="黑体" w:hAnsi="黑体" w:eastAsia="黑体" w:cs="宋体"/>
          <w:szCs w:val="21"/>
        </w:rPr>
      </w:pPr>
      <w:r>
        <w:rPr>
          <w:rFonts w:hint="eastAsia" w:ascii="黑体" w:hAnsi="黑体" w:eastAsia="黑体" w:cs="宋体"/>
          <w:color w:val="000000"/>
          <w:szCs w:val="21"/>
        </w:rPr>
        <w:t>1 抽样方法</w:t>
      </w:r>
    </w:p>
    <w:p>
      <w:pPr>
        <w:snapToGrid w:val="0"/>
        <w:spacing w:line="440" w:lineRule="exact"/>
        <w:ind w:firstLine="420" w:firstLineChars="200"/>
        <w:rPr>
          <w:rFonts w:ascii="宋体" w:hAnsi="宋体" w:cs="宋体"/>
          <w:color w:val="000000"/>
          <w:szCs w:val="21"/>
        </w:rPr>
      </w:pPr>
      <w:r>
        <w:rPr>
          <w:rFonts w:hint="eastAsia" w:ascii="宋体" w:hAnsi="宋体" w:eastAsia="宋体" w:cs="宋体"/>
          <w:color w:val="000000"/>
          <w:szCs w:val="21"/>
        </w:rPr>
        <w:t>以随机抽样的方式在被抽样生产者、销售者的待销产品中抽取。</w:t>
      </w:r>
    </w:p>
    <w:p>
      <w:pPr>
        <w:snapToGrid w:val="0"/>
        <w:spacing w:line="440" w:lineRule="exact"/>
        <w:ind w:firstLine="420" w:firstLineChars="200"/>
        <w:rPr>
          <w:rFonts w:ascii="宋体" w:hAnsi="宋体" w:cs="宋体"/>
          <w:color w:val="000000"/>
          <w:szCs w:val="21"/>
        </w:rPr>
      </w:pPr>
      <w:r>
        <w:rPr>
          <w:rFonts w:hint="eastAsia" w:ascii="宋体" w:hAnsi="宋体" w:eastAsia="宋体" w:cs="宋体"/>
          <w:color w:val="000000"/>
          <w:szCs w:val="21"/>
        </w:rPr>
        <w:t>随机数一般可使用随机数表等方法产生。</w:t>
      </w:r>
      <w:bookmarkStart w:id="0" w:name="_GoBack"/>
      <w:bookmarkEnd w:id="0"/>
    </w:p>
    <w:p>
      <w:pPr>
        <w:snapToGrid w:val="0"/>
        <w:spacing w:line="440" w:lineRule="exact"/>
        <w:ind w:firstLine="420" w:firstLineChars="200"/>
        <w:rPr>
          <w:rFonts w:ascii="宋体" w:hAnsi="宋体" w:eastAsia="宋体" w:cs="宋体"/>
          <w:color w:val="000000"/>
          <w:szCs w:val="21"/>
        </w:rPr>
      </w:pPr>
      <w:r>
        <w:rPr>
          <w:rFonts w:hint="eastAsia" w:ascii="宋体" w:hAnsi="宋体" w:eastAsia="宋体" w:cs="宋体"/>
          <w:color w:val="000000"/>
          <w:szCs w:val="21"/>
        </w:rPr>
        <w:t>每批次产品抽取样品1盘10米，截成2根，其中6.5米1根作为检验样品，3.5米1根作为备用样品。</w:t>
      </w:r>
    </w:p>
    <w:p>
      <w:pPr>
        <w:snapToGrid w:val="0"/>
        <w:spacing w:line="440" w:lineRule="exact"/>
        <w:ind w:firstLine="420" w:firstLineChars="200"/>
        <w:rPr>
          <w:rFonts w:ascii="宋体" w:hAnsi="宋体" w:eastAsia="宋体" w:cs="宋体"/>
          <w:color w:val="000000"/>
          <w:szCs w:val="21"/>
        </w:rPr>
      </w:pPr>
    </w:p>
    <w:p>
      <w:pPr>
        <w:snapToGrid w:val="0"/>
        <w:spacing w:line="440" w:lineRule="exact"/>
        <w:rPr>
          <w:rFonts w:eastAsia="黑体"/>
          <w:szCs w:val="21"/>
        </w:rPr>
      </w:pPr>
      <w:r>
        <w:rPr>
          <w:rFonts w:eastAsia="黑体"/>
          <w:szCs w:val="21"/>
        </w:rPr>
        <w:t>2 检验依据</w:t>
      </w:r>
    </w:p>
    <w:p>
      <w:pPr>
        <w:snapToGrid w:val="0"/>
        <w:spacing w:line="440" w:lineRule="exact"/>
        <w:jc w:val="center"/>
        <w:rPr>
          <w:rFonts w:asciiTheme="minorEastAsia" w:hAnsiTheme="minorEastAsia"/>
          <w:szCs w:val="21"/>
        </w:rPr>
      </w:pPr>
      <w:r>
        <w:rPr>
          <w:rFonts w:hint="eastAsia" w:asciiTheme="minorEastAsia" w:hAnsiTheme="minorEastAsia"/>
          <w:szCs w:val="21"/>
        </w:rPr>
        <w:t>表1 检验项目</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4618"/>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1" w:type="pct"/>
            <w:tcBorders>
              <w:left w:val="single" w:color="auto" w:sz="4" w:space="0"/>
              <w:bottom w:val="single" w:color="auto" w:sz="4" w:space="0"/>
              <w:right w:val="single" w:color="auto" w:sz="4" w:space="0"/>
            </w:tcBorders>
            <w:vAlign w:val="center"/>
          </w:tcPr>
          <w:p>
            <w:pPr>
              <w:snapToGrid w:val="0"/>
              <w:spacing w:line="440" w:lineRule="exact"/>
              <w:jc w:val="center"/>
              <w:rPr>
                <w:rFonts w:asciiTheme="minorEastAsia" w:hAnsiTheme="minorEastAsia"/>
                <w:szCs w:val="21"/>
              </w:rPr>
            </w:pPr>
            <w:r>
              <w:rPr>
                <w:rFonts w:asciiTheme="minorEastAsia" w:hAnsiTheme="minorEastAsia"/>
                <w:szCs w:val="21"/>
              </w:rPr>
              <w:t>序号</w:t>
            </w:r>
          </w:p>
        </w:tc>
        <w:tc>
          <w:tcPr>
            <w:tcW w:w="2517" w:type="pct"/>
            <w:tcBorders>
              <w:left w:val="single" w:color="auto" w:sz="4" w:space="0"/>
              <w:bottom w:val="single" w:color="auto" w:sz="4" w:space="0"/>
              <w:right w:val="single" w:color="auto" w:sz="4" w:space="0"/>
            </w:tcBorders>
            <w:vAlign w:val="center"/>
          </w:tcPr>
          <w:p>
            <w:pPr>
              <w:snapToGrid w:val="0"/>
              <w:spacing w:line="440" w:lineRule="exact"/>
              <w:jc w:val="center"/>
              <w:rPr>
                <w:rFonts w:asciiTheme="minorEastAsia" w:hAnsiTheme="minorEastAsia"/>
                <w:szCs w:val="21"/>
              </w:rPr>
            </w:pPr>
            <w:r>
              <w:rPr>
                <w:rFonts w:asciiTheme="minorEastAsia" w:hAnsiTheme="minorEastAsia"/>
                <w:szCs w:val="21"/>
              </w:rPr>
              <w:t>检验项目</w:t>
            </w:r>
          </w:p>
        </w:tc>
        <w:tc>
          <w:tcPr>
            <w:tcW w:w="2082" w:type="pct"/>
            <w:tcBorders>
              <w:left w:val="single" w:color="auto" w:sz="4" w:space="0"/>
              <w:bottom w:val="single" w:color="auto" w:sz="4" w:space="0"/>
              <w:right w:val="single" w:color="auto" w:sz="4" w:space="0"/>
            </w:tcBorders>
            <w:vAlign w:val="center"/>
          </w:tcPr>
          <w:p>
            <w:pPr>
              <w:snapToGrid w:val="0"/>
              <w:spacing w:line="440" w:lineRule="exact"/>
              <w:jc w:val="center"/>
              <w:rPr>
                <w:rFonts w:asciiTheme="minorEastAsia" w:hAnsiTheme="minorEastAsia"/>
                <w:szCs w:val="21"/>
              </w:rPr>
            </w:pPr>
            <w:r>
              <w:rPr>
                <w:rFonts w:asciiTheme="minorEastAsia" w:hAnsi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Theme="minorEastAsia" w:hAnsiTheme="minorEastAsia"/>
                <w:szCs w:val="21"/>
              </w:rPr>
            </w:pPr>
            <w:r>
              <w:rPr>
                <w:rFonts w:asciiTheme="minorEastAsia" w:hAnsiTheme="minorEastAsia"/>
                <w:szCs w:val="21"/>
              </w:rPr>
              <w:t>1</w:t>
            </w:r>
          </w:p>
        </w:tc>
        <w:tc>
          <w:tcPr>
            <w:tcW w:w="2517" w:type="pct"/>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Theme="minorEastAsia" w:hAnsiTheme="minorEastAsia"/>
                <w:szCs w:val="21"/>
              </w:rPr>
            </w:pPr>
            <w:r>
              <w:rPr>
                <w:rFonts w:asciiTheme="minorEastAsia" w:hAnsiTheme="minorEastAsia"/>
                <w:szCs w:val="21"/>
              </w:rPr>
              <w:t>破断拉力</w:t>
            </w:r>
          </w:p>
        </w:tc>
        <w:tc>
          <w:tcPr>
            <w:tcW w:w="2082" w:type="pct"/>
            <w:tcBorders>
              <w:top w:val="single" w:color="auto" w:sz="4" w:space="0"/>
              <w:left w:val="single" w:color="auto" w:sz="4" w:space="0"/>
              <w:right w:val="single" w:color="auto" w:sz="4" w:space="0"/>
            </w:tcBorders>
            <w:vAlign w:val="center"/>
          </w:tcPr>
          <w:p>
            <w:pPr>
              <w:spacing w:line="440" w:lineRule="exact"/>
              <w:jc w:val="center"/>
              <w:rPr>
                <w:rFonts w:asciiTheme="minorEastAsia" w:hAnsiTheme="minorEastAsia"/>
                <w:szCs w:val="21"/>
              </w:rPr>
            </w:pPr>
            <w:r>
              <w:rPr>
                <w:rFonts w:hint="eastAsia" w:asciiTheme="minorEastAsia" w:hAnsiTheme="minorEastAsia"/>
                <w:szCs w:val="21"/>
              </w:rPr>
              <w:t>GB/T 8358</w:t>
            </w:r>
            <w:r>
              <w:rPr>
                <w:rFonts w:asciiTheme="minorEastAsia" w:hAnsiTheme="minorEastAsia"/>
              </w:rPr>
              <w:t>—</w:t>
            </w:r>
            <w:r>
              <w:rPr>
                <w:rFonts w:hint="eastAsia" w:asciiTheme="minorEastAsia" w:hAnsiTheme="minorEastAsia"/>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Theme="minorEastAsia" w:hAnsiTheme="minorEastAsia"/>
                <w:szCs w:val="21"/>
              </w:rPr>
            </w:pPr>
            <w:r>
              <w:rPr>
                <w:rFonts w:asciiTheme="minorEastAsia" w:hAnsiTheme="minorEastAsia"/>
                <w:szCs w:val="21"/>
              </w:rPr>
              <w:t>2</w:t>
            </w:r>
          </w:p>
        </w:tc>
        <w:tc>
          <w:tcPr>
            <w:tcW w:w="2517" w:type="pct"/>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Theme="minorEastAsia" w:hAnsiTheme="minorEastAsia"/>
                <w:szCs w:val="21"/>
              </w:rPr>
            </w:pPr>
            <w:r>
              <w:rPr>
                <w:rFonts w:asciiTheme="minorEastAsia" w:hAnsiTheme="minorEastAsia"/>
                <w:szCs w:val="21"/>
              </w:rPr>
              <w:t>拆股钢丝抗拉强度</w:t>
            </w:r>
          </w:p>
        </w:tc>
        <w:tc>
          <w:tcPr>
            <w:tcW w:w="2082" w:type="pct"/>
            <w:tcBorders>
              <w:left w:val="single" w:color="auto" w:sz="4" w:space="0"/>
              <w:right w:val="single" w:color="auto" w:sz="4" w:space="0"/>
            </w:tcBorders>
            <w:vAlign w:val="center"/>
          </w:tcPr>
          <w:p>
            <w:pPr>
              <w:snapToGrid w:val="0"/>
              <w:spacing w:line="440" w:lineRule="exact"/>
              <w:jc w:val="center"/>
              <w:rPr>
                <w:rFonts w:asciiTheme="minorEastAsia" w:hAnsiTheme="minorEastAsia"/>
                <w:szCs w:val="21"/>
              </w:rPr>
            </w:pPr>
            <w:r>
              <w:rPr>
                <w:rFonts w:asciiTheme="minorEastAsia" w:hAnsiTheme="minorEastAsia"/>
                <w:szCs w:val="21"/>
              </w:rPr>
              <w:t>GB/T 228.1—2021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Theme="minorEastAsia" w:hAnsiTheme="minorEastAsia"/>
                <w:szCs w:val="21"/>
              </w:rPr>
            </w:pPr>
            <w:r>
              <w:rPr>
                <w:rFonts w:asciiTheme="minorEastAsia" w:hAnsiTheme="minorEastAsia"/>
                <w:szCs w:val="21"/>
              </w:rPr>
              <w:t>3</w:t>
            </w:r>
          </w:p>
        </w:tc>
        <w:tc>
          <w:tcPr>
            <w:tcW w:w="2517" w:type="pct"/>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Theme="minorEastAsia" w:hAnsiTheme="minorEastAsia"/>
                <w:szCs w:val="21"/>
              </w:rPr>
            </w:pPr>
            <w:r>
              <w:rPr>
                <w:rFonts w:asciiTheme="minorEastAsia" w:hAnsiTheme="minorEastAsia"/>
                <w:szCs w:val="21"/>
              </w:rPr>
              <w:t>拆股钢丝扭转</w:t>
            </w:r>
          </w:p>
        </w:tc>
        <w:tc>
          <w:tcPr>
            <w:tcW w:w="2082" w:type="pct"/>
            <w:tcBorders>
              <w:left w:val="single" w:color="auto" w:sz="4" w:space="0"/>
              <w:right w:val="single" w:color="auto" w:sz="4" w:space="0"/>
            </w:tcBorders>
            <w:vAlign w:val="center"/>
          </w:tcPr>
          <w:p>
            <w:pPr>
              <w:spacing w:line="440" w:lineRule="exact"/>
              <w:jc w:val="center"/>
              <w:rPr>
                <w:rFonts w:asciiTheme="minorEastAsia" w:hAnsiTheme="minorEastAsia"/>
                <w:szCs w:val="21"/>
              </w:rPr>
            </w:pPr>
            <w:r>
              <w:rPr>
                <w:rFonts w:hint="eastAsia" w:asciiTheme="minorEastAsia" w:hAnsiTheme="minorEastAsia"/>
                <w:szCs w:val="21"/>
              </w:rPr>
              <w:t>GB/T 239.1</w:t>
            </w:r>
            <w:r>
              <w:rPr>
                <w:rFonts w:asciiTheme="minorEastAsia" w:hAnsiTheme="minorEastAsia"/>
              </w:rPr>
              <w:t>—</w:t>
            </w:r>
            <w:r>
              <w:rPr>
                <w:rFonts w:hint="eastAsia" w:asciiTheme="minorEastAsia" w:hAnsiTheme="minorEastAsia"/>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Theme="minorEastAsia" w:hAnsiTheme="minorEastAsia"/>
                <w:szCs w:val="21"/>
              </w:rPr>
            </w:pPr>
            <w:r>
              <w:rPr>
                <w:rFonts w:asciiTheme="minorEastAsia" w:hAnsiTheme="minorEastAsia"/>
                <w:szCs w:val="21"/>
              </w:rPr>
              <w:t>4</w:t>
            </w:r>
          </w:p>
        </w:tc>
        <w:tc>
          <w:tcPr>
            <w:tcW w:w="2517" w:type="pct"/>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Theme="minorEastAsia" w:hAnsiTheme="minorEastAsia"/>
                <w:szCs w:val="21"/>
              </w:rPr>
            </w:pPr>
            <w:r>
              <w:rPr>
                <w:rFonts w:asciiTheme="minorEastAsia" w:hAnsiTheme="minorEastAsia"/>
                <w:szCs w:val="21"/>
              </w:rPr>
              <w:t>拆股钢丝反复弯曲</w:t>
            </w:r>
            <w:r>
              <w:rPr>
                <w:rFonts w:hint="eastAsia"/>
                <w:color w:val="000000"/>
                <w:szCs w:val="21"/>
              </w:rPr>
              <w:t>次数</w:t>
            </w:r>
          </w:p>
        </w:tc>
        <w:tc>
          <w:tcPr>
            <w:tcW w:w="2082" w:type="pct"/>
            <w:tcBorders>
              <w:left w:val="single" w:color="auto" w:sz="4" w:space="0"/>
              <w:right w:val="single" w:color="auto" w:sz="4" w:space="0"/>
            </w:tcBorders>
            <w:vAlign w:val="center"/>
          </w:tcPr>
          <w:p>
            <w:pPr>
              <w:snapToGrid w:val="0"/>
              <w:spacing w:line="440" w:lineRule="exact"/>
              <w:jc w:val="center"/>
              <w:rPr>
                <w:rFonts w:asciiTheme="minorEastAsia" w:hAnsiTheme="minorEastAsia"/>
                <w:szCs w:val="21"/>
              </w:rPr>
            </w:pPr>
            <w:r>
              <w:rPr>
                <w:rFonts w:asciiTheme="minorEastAsia" w:hAnsiTheme="minorEastAsia"/>
                <w:szCs w:val="21"/>
              </w:rPr>
              <w:t>GB/T 238</w:t>
            </w:r>
            <w:r>
              <w:rPr>
                <w:rFonts w:asciiTheme="minorEastAsia" w:hAnsiTheme="minorEastAsia"/>
              </w:rPr>
              <w:t>—</w:t>
            </w:r>
            <w:r>
              <w:rPr>
                <w:rFonts w:asciiTheme="minorEastAsia" w:hAnsiTheme="minorEastAsia"/>
                <w:szCs w:val="21"/>
              </w:rPr>
              <w:t>2013</w:t>
            </w:r>
          </w:p>
        </w:tc>
      </w:tr>
    </w:tbl>
    <w:p>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pPr>
        <w:adjustRightInd w:val="0"/>
        <w:snapToGrid w:val="0"/>
        <w:spacing w:line="440" w:lineRule="exact"/>
        <w:ind w:firstLine="420" w:firstLineChars="200"/>
        <w:rPr>
          <w:szCs w:val="21"/>
        </w:rPr>
      </w:pPr>
      <w:r>
        <w:rPr>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rPr>
          <w:color w:val="000000"/>
          <w:szCs w:val="21"/>
        </w:rPr>
      </w:pPr>
    </w:p>
    <w:p>
      <w:pPr>
        <w:adjustRightInd w:val="0"/>
        <w:snapToGrid w:val="0"/>
        <w:spacing w:line="440" w:lineRule="exact"/>
        <w:rPr>
          <w:rFonts w:ascii="黑体" w:hAnsi="黑体" w:eastAsia="黑体"/>
          <w:color w:val="000000"/>
          <w:szCs w:val="21"/>
        </w:rPr>
      </w:pPr>
      <w:r>
        <w:rPr>
          <w:rFonts w:hint="eastAsia" w:ascii="黑体" w:hAnsi="黑体" w:eastAsia="黑体"/>
          <w:color w:val="000000"/>
          <w:szCs w:val="21"/>
        </w:rPr>
        <w:t>3 判定规则</w:t>
      </w:r>
    </w:p>
    <w:p>
      <w:pPr>
        <w:adjustRightInd w:val="0"/>
        <w:snapToGrid w:val="0"/>
        <w:spacing w:line="440" w:lineRule="exact"/>
        <w:rPr>
          <w:rFonts w:asciiTheme="minorEastAsia" w:hAnsiTheme="minorEastAsia"/>
          <w:color w:val="000000"/>
          <w:szCs w:val="21"/>
        </w:rPr>
      </w:pPr>
      <w:r>
        <w:rPr>
          <w:rFonts w:hint="eastAsia" w:asciiTheme="minorEastAsia" w:hAnsiTheme="minorEastAsia"/>
          <w:color w:val="000000"/>
          <w:szCs w:val="21"/>
        </w:rPr>
        <w:t>3.1依据标准</w:t>
      </w:r>
    </w:p>
    <w:p>
      <w:pPr>
        <w:snapToGrid w:val="0"/>
        <w:spacing w:line="440" w:lineRule="exact"/>
        <w:ind w:firstLine="420" w:firstLineChars="200"/>
        <w:rPr>
          <w:rFonts w:asciiTheme="minorEastAsia" w:hAnsiTheme="minorEastAsia"/>
          <w:szCs w:val="21"/>
        </w:rPr>
      </w:pPr>
      <w:r>
        <w:rPr>
          <w:rFonts w:asciiTheme="minorEastAsia" w:hAnsiTheme="minorEastAsia"/>
          <w:szCs w:val="21"/>
        </w:rPr>
        <w:t>GB/T 20118—2017 钢丝绳通用技术条件</w:t>
      </w:r>
    </w:p>
    <w:p>
      <w:pPr>
        <w:adjustRightInd w:val="0"/>
        <w:snapToGrid w:val="0"/>
        <w:spacing w:line="440" w:lineRule="exact"/>
        <w:ind w:firstLine="420" w:firstLineChars="200"/>
        <w:rPr>
          <w:rFonts w:asciiTheme="minorEastAsia" w:hAnsiTheme="minorEastAsia"/>
          <w:szCs w:val="21"/>
        </w:rPr>
      </w:pPr>
      <w:r>
        <w:rPr>
          <w:rFonts w:asciiTheme="minorEastAsia" w:hAnsiTheme="minorEastAsia"/>
          <w:szCs w:val="21"/>
        </w:rPr>
        <w:t>现行有效的企业标准、团体标准、地方标准及产品明示质量要求。</w:t>
      </w:r>
    </w:p>
    <w:p>
      <w:pPr>
        <w:adjustRightInd w:val="0"/>
        <w:snapToGrid w:val="0"/>
        <w:spacing w:line="440" w:lineRule="exact"/>
        <w:rPr>
          <w:rFonts w:asciiTheme="minorEastAsia" w:hAnsiTheme="minorEastAsia"/>
          <w:color w:val="000000"/>
          <w:szCs w:val="21"/>
        </w:rPr>
      </w:pPr>
      <w:r>
        <w:rPr>
          <w:rFonts w:hint="eastAsia" w:asciiTheme="minorEastAsia" w:hAnsiTheme="minorEastAsia"/>
          <w:color w:val="000000"/>
          <w:szCs w:val="21"/>
        </w:rPr>
        <w:t>3.2判定原则</w:t>
      </w:r>
    </w:p>
    <w:p>
      <w:pPr>
        <w:adjustRightInd w:val="0"/>
        <w:snapToGrid w:val="0"/>
        <w:spacing w:line="440" w:lineRule="exact"/>
        <w:ind w:firstLine="420" w:firstLineChars="200"/>
        <w:rPr>
          <w:rFonts w:asciiTheme="minorEastAsia" w:hAnsiTheme="minorEastAsia"/>
          <w:color w:val="000000"/>
          <w:szCs w:val="21"/>
        </w:rPr>
      </w:pPr>
      <w:r>
        <w:rPr>
          <w:rFonts w:hint="eastAsia" w:asciiTheme="minorEastAsia" w:hAnsiTheme="minorEastAsia"/>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20" w:firstLineChars="200"/>
        <w:rPr>
          <w:rFonts w:asciiTheme="minorEastAsia" w:hAnsiTheme="minorEastAsia"/>
          <w:color w:val="000000"/>
          <w:szCs w:val="21"/>
        </w:rPr>
      </w:pPr>
      <w:r>
        <w:rPr>
          <w:rFonts w:hint="eastAsia" w:asciiTheme="minorEastAsia" w:hAnsiTheme="minorEastAsia"/>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20" w:firstLineChars="200"/>
        <w:rPr>
          <w:rFonts w:asciiTheme="minorEastAsia" w:hAnsiTheme="minorEastAsia"/>
          <w:color w:val="000000"/>
          <w:szCs w:val="21"/>
        </w:rPr>
      </w:pPr>
      <w:r>
        <w:rPr>
          <w:rFonts w:hint="eastAsia" w:asciiTheme="minorEastAsia" w:hAnsiTheme="minorEastAsia"/>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20" w:firstLineChars="200"/>
        <w:rPr>
          <w:rFonts w:asciiTheme="minorEastAsia" w:hAnsiTheme="minorEastAsia"/>
          <w:color w:val="000000"/>
          <w:szCs w:val="21"/>
        </w:rPr>
      </w:pPr>
      <w:r>
        <w:rPr>
          <w:rFonts w:hint="eastAsia" w:asciiTheme="minorEastAsia" w:hAnsiTheme="minorEastAsia"/>
          <w:color w:val="000000"/>
          <w:szCs w:val="21"/>
        </w:rPr>
        <w:t xml:space="preserve">若被检产品明示的质量要求低于或包含细则中检验项目依据的推荐性标准要求时，应以被检产品明示的质量要求判定。 </w:t>
      </w:r>
    </w:p>
    <w:p>
      <w:pPr>
        <w:adjustRightInd w:val="0"/>
        <w:snapToGrid w:val="0"/>
        <w:spacing w:line="440" w:lineRule="exact"/>
        <w:ind w:firstLine="420" w:firstLineChars="200"/>
        <w:rPr>
          <w:rFonts w:asciiTheme="minorEastAsia" w:hAnsiTheme="minorEastAsia"/>
          <w:color w:val="000000"/>
          <w:szCs w:val="21"/>
        </w:rPr>
      </w:pPr>
      <w:r>
        <w:rPr>
          <w:rFonts w:hint="eastAsia" w:asciiTheme="minorEastAsia" w:hAnsiTheme="minorEastAsia"/>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20" w:firstLineChars="200"/>
        <w:rPr>
          <w:rFonts w:asciiTheme="minorEastAsia" w:hAnsiTheme="minorEastAsia"/>
          <w:color w:val="000000"/>
          <w:szCs w:val="21"/>
        </w:rPr>
      </w:pPr>
      <w:r>
        <w:rPr>
          <w:rFonts w:hint="eastAsia" w:asciiTheme="minorEastAsia" w:hAnsiTheme="minorEastAsia"/>
          <w:color w:val="000000"/>
          <w:szCs w:val="21"/>
        </w:rPr>
        <w:t>若被检产品明示的质量要求缺少本细则中检验项目依据的推荐性标准要求时，该项目不参与判定。</w:t>
      </w:r>
    </w:p>
    <w:p>
      <w:pPr>
        <w:adjustRightInd w:val="0"/>
        <w:snapToGrid w:val="0"/>
        <w:spacing w:line="440" w:lineRule="exact"/>
        <w:ind w:firstLine="420" w:firstLineChars="200"/>
        <w:rPr>
          <w:rFonts w:asciiTheme="minorEastAsia" w:hAnsiTheme="minorEastAsia"/>
          <w:color w:val="000000"/>
          <w:szCs w:val="21"/>
        </w:rPr>
      </w:pPr>
    </w:p>
    <w:p>
      <w:pPr>
        <w:spacing w:line="440" w:lineRule="exact"/>
        <w:rPr>
          <w:rFonts w:ascii="黑体" w:hAnsi="黑体" w:eastAsia="黑体" w:cs="黑体"/>
          <w:szCs w:val="21"/>
        </w:rPr>
      </w:pPr>
      <w:r>
        <w:rPr>
          <w:rFonts w:hint="eastAsia" w:ascii="黑体" w:hAnsi="黑体" w:eastAsia="黑体" w:cs="黑体"/>
          <w:szCs w:val="21"/>
        </w:rPr>
        <w:t>4 附则</w:t>
      </w:r>
    </w:p>
    <w:p>
      <w:pPr>
        <w:adjustRightInd w:val="0"/>
        <w:snapToGrid w:val="0"/>
        <w:spacing w:line="440" w:lineRule="exact"/>
        <w:ind w:firstLine="420" w:firstLineChars="200"/>
        <w:rPr>
          <w:rFonts w:asciiTheme="minorEastAsia" w:hAnsiTheme="minorEastAsia"/>
          <w:color w:val="000000"/>
          <w:szCs w:val="21"/>
        </w:rPr>
      </w:pPr>
      <w:r>
        <w:rPr>
          <w:rFonts w:hint="eastAsia" w:ascii="宋体" w:hAnsi="宋体" w:cs="宋体"/>
          <w:szCs w:val="21"/>
        </w:rPr>
        <w:t>本细则代替西藏自治区市场监督管理局关于发布《产品质量监督抽査实施细则(2024版)》（专项监督抽查）的通告中的《西藏自治区钢丝绳产品质量监督抽查实施细则(2024版)》</w:t>
      </w: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095"/>
    <w:rsid w:val="000013E1"/>
    <w:rsid w:val="00006445"/>
    <w:rsid w:val="00007270"/>
    <w:rsid w:val="00007B29"/>
    <w:rsid w:val="0001133F"/>
    <w:rsid w:val="00014DA6"/>
    <w:rsid w:val="000179DC"/>
    <w:rsid w:val="00020ABD"/>
    <w:rsid w:val="00022CCE"/>
    <w:rsid w:val="00024EB9"/>
    <w:rsid w:val="0002506E"/>
    <w:rsid w:val="00026998"/>
    <w:rsid w:val="00026AD4"/>
    <w:rsid w:val="000275D0"/>
    <w:rsid w:val="00035104"/>
    <w:rsid w:val="000370CA"/>
    <w:rsid w:val="0003765D"/>
    <w:rsid w:val="0004165E"/>
    <w:rsid w:val="00041AE5"/>
    <w:rsid w:val="0004352C"/>
    <w:rsid w:val="0004487E"/>
    <w:rsid w:val="00046678"/>
    <w:rsid w:val="000475A5"/>
    <w:rsid w:val="00047738"/>
    <w:rsid w:val="000531A1"/>
    <w:rsid w:val="00062C22"/>
    <w:rsid w:val="00070522"/>
    <w:rsid w:val="00070801"/>
    <w:rsid w:val="0007227C"/>
    <w:rsid w:val="00077609"/>
    <w:rsid w:val="00077AE6"/>
    <w:rsid w:val="0008055B"/>
    <w:rsid w:val="00080A7B"/>
    <w:rsid w:val="00083EB6"/>
    <w:rsid w:val="00086C99"/>
    <w:rsid w:val="00090535"/>
    <w:rsid w:val="00093897"/>
    <w:rsid w:val="00094892"/>
    <w:rsid w:val="000A024A"/>
    <w:rsid w:val="000A3327"/>
    <w:rsid w:val="000A3909"/>
    <w:rsid w:val="000A7D20"/>
    <w:rsid w:val="000B2BE1"/>
    <w:rsid w:val="000B6483"/>
    <w:rsid w:val="000B682C"/>
    <w:rsid w:val="000B7774"/>
    <w:rsid w:val="000B7E80"/>
    <w:rsid w:val="000C2D32"/>
    <w:rsid w:val="000C4E08"/>
    <w:rsid w:val="000D28D8"/>
    <w:rsid w:val="000D294C"/>
    <w:rsid w:val="000D3481"/>
    <w:rsid w:val="000D4B87"/>
    <w:rsid w:val="000D5489"/>
    <w:rsid w:val="000D5705"/>
    <w:rsid w:val="000D7F1C"/>
    <w:rsid w:val="000E6B12"/>
    <w:rsid w:val="000E7FE3"/>
    <w:rsid w:val="000F086C"/>
    <w:rsid w:val="000F0FCF"/>
    <w:rsid w:val="000F3943"/>
    <w:rsid w:val="000F5326"/>
    <w:rsid w:val="00104B36"/>
    <w:rsid w:val="00104BD7"/>
    <w:rsid w:val="0010685B"/>
    <w:rsid w:val="00106D3F"/>
    <w:rsid w:val="00112237"/>
    <w:rsid w:val="0011286C"/>
    <w:rsid w:val="00114538"/>
    <w:rsid w:val="00116652"/>
    <w:rsid w:val="0012482B"/>
    <w:rsid w:val="001264E9"/>
    <w:rsid w:val="00127A45"/>
    <w:rsid w:val="00130793"/>
    <w:rsid w:val="00132972"/>
    <w:rsid w:val="00133C99"/>
    <w:rsid w:val="00140D89"/>
    <w:rsid w:val="001426D0"/>
    <w:rsid w:val="001451A4"/>
    <w:rsid w:val="00151C67"/>
    <w:rsid w:val="00155D73"/>
    <w:rsid w:val="0015752E"/>
    <w:rsid w:val="00162E38"/>
    <w:rsid w:val="0017060D"/>
    <w:rsid w:val="00171BB5"/>
    <w:rsid w:val="00171F49"/>
    <w:rsid w:val="00172D2E"/>
    <w:rsid w:val="00175F44"/>
    <w:rsid w:val="00176BE1"/>
    <w:rsid w:val="00177E0F"/>
    <w:rsid w:val="00180A40"/>
    <w:rsid w:val="00186737"/>
    <w:rsid w:val="00193094"/>
    <w:rsid w:val="001953A5"/>
    <w:rsid w:val="001A32E6"/>
    <w:rsid w:val="001A4E6C"/>
    <w:rsid w:val="001A51A8"/>
    <w:rsid w:val="001A5329"/>
    <w:rsid w:val="001A765C"/>
    <w:rsid w:val="001A76EA"/>
    <w:rsid w:val="001A76ED"/>
    <w:rsid w:val="001B2462"/>
    <w:rsid w:val="001B6105"/>
    <w:rsid w:val="001B6513"/>
    <w:rsid w:val="001C0242"/>
    <w:rsid w:val="001C0972"/>
    <w:rsid w:val="001C0FC6"/>
    <w:rsid w:val="001C4F9F"/>
    <w:rsid w:val="001C57FC"/>
    <w:rsid w:val="001D05E4"/>
    <w:rsid w:val="001D0B0E"/>
    <w:rsid w:val="001E2F6E"/>
    <w:rsid w:val="001E4799"/>
    <w:rsid w:val="001F7604"/>
    <w:rsid w:val="00201786"/>
    <w:rsid w:val="00206AF5"/>
    <w:rsid w:val="00212590"/>
    <w:rsid w:val="002156A2"/>
    <w:rsid w:val="00217091"/>
    <w:rsid w:val="002225DD"/>
    <w:rsid w:val="00222832"/>
    <w:rsid w:val="002265A4"/>
    <w:rsid w:val="00227E7C"/>
    <w:rsid w:val="0023663A"/>
    <w:rsid w:val="00237A3F"/>
    <w:rsid w:val="00242D0B"/>
    <w:rsid w:val="00243C6E"/>
    <w:rsid w:val="002446E6"/>
    <w:rsid w:val="0024504A"/>
    <w:rsid w:val="0024618B"/>
    <w:rsid w:val="002526CA"/>
    <w:rsid w:val="00252965"/>
    <w:rsid w:val="002533A8"/>
    <w:rsid w:val="0026236F"/>
    <w:rsid w:val="00267C9D"/>
    <w:rsid w:val="00274FBC"/>
    <w:rsid w:val="00274FE4"/>
    <w:rsid w:val="00276325"/>
    <w:rsid w:val="00280874"/>
    <w:rsid w:val="002812D0"/>
    <w:rsid w:val="00281B56"/>
    <w:rsid w:val="002836A6"/>
    <w:rsid w:val="00297989"/>
    <w:rsid w:val="002A0724"/>
    <w:rsid w:val="002A0C9F"/>
    <w:rsid w:val="002A32A5"/>
    <w:rsid w:val="002A359D"/>
    <w:rsid w:val="002A4399"/>
    <w:rsid w:val="002A4DAC"/>
    <w:rsid w:val="002B06B2"/>
    <w:rsid w:val="002B0A41"/>
    <w:rsid w:val="002B22C0"/>
    <w:rsid w:val="002B490C"/>
    <w:rsid w:val="002B4D16"/>
    <w:rsid w:val="002B53D0"/>
    <w:rsid w:val="002C0BD7"/>
    <w:rsid w:val="002C1EC9"/>
    <w:rsid w:val="002D4DE9"/>
    <w:rsid w:val="002D4E8B"/>
    <w:rsid w:val="002D661B"/>
    <w:rsid w:val="002D7E08"/>
    <w:rsid w:val="002E0E5A"/>
    <w:rsid w:val="002E3155"/>
    <w:rsid w:val="002E6D1C"/>
    <w:rsid w:val="002E7AF3"/>
    <w:rsid w:val="002E7C55"/>
    <w:rsid w:val="002F03D0"/>
    <w:rsid w:val="002F184D"/>
    <w:rsid w:val="002F3F03"/>
    <w:rsid w:val="002F3F5E"/>
    <w:rsid w:val="002F616E"/>
    <w:rsid w:val="002F7A1E"/>
    <w:rsid w:val="003023B9"/>
    <w:rsid w:val="00302574"/>
    <w:rsid w:val="0030472B"/>
    <w:rsid w:val="003106AA"/>
    <w:rsid w:val="003121D2"/>
    <w:rsid w:val="00312E80"/>
    <w:rsid w:val="003135B6"/>
    <w:rsid w:val="003137BB"/>
    <w:rsid w:val="00317830"/>
    <w:rsid w:val="00320156"/>
    <w:rsid w:val="00323667"/>
    <w:rsid w:val="00330D03"/>
    <w:rsid w:val="003318F7"/>
    <w:rsid w:val="00331BB7"/>
    <w:rsid w:val="003323CA"/>
    <w:rsid w:val="00333208"/>
    <w:rsid w:val="003338B6"/>
    <w:rsid w:val="00333CF1"/>
    <w:rsid w:val="0033446C"/>
    <w:rsid w:val="0034252A"/>
    <w:rsid w:val="00342621"/>
    <w:rsid w:val="0034276E"/>
    <w:rsid w:val="003433DF"/>
    <w:rsid w:val="003444BE"/>
    <w:rsid w:val="00344A35"/>
    <w:rsid w:val="00346679"/>
    <w:rsid w:val="00347275"/>
    <w:rsid w:val="00351BD6"/>
    <w:rsid w:val="00356211"/>
    <w:rsid w:val="00356BEF"/>
    <w:rsid w:val="00362E9C"/>
    <w:rsid w:val="003639EB"/>
    <w:rsid w:val="0036618C"/>
    <w:rsid w:val="003723E9"/>
    <w:rsid w:val="00376397"/>
    <w:rsid w:val="00377057"/>
    <w:rsid w:val="00380772"/>
    <w:rsid w:val="00385C1D"/>
    <w:rsid w:val="00385CC6"/>
    <w:rsid w:val="00391265"/>
    <w:rsid w:val="003922D9"/>
    <w:rsid w:val="00392F7A"/>
    <w:rsid w:val="00395ABB"/>
    <w:rsid w:val="00396AC2"/>
    <w:rsid w:val="00396B15"/>
    <w:rsid w:val="003A2674"/>
    <w:rsid w:val="003A29E8"/>
    <w:rsid w:val="003A379A"/>
    <w:rsid w:val="003B05AC"/>
    <w:rsid w:val="003B08F7"/>
    <w:rsid w:val="003B0DA1"/>
    <w:rsid w:val="003B671F"/>
    <w:rsid w:val="003B6BFC"/>
    <w:rsid w:val="003B7944"/>
    <w:rsid w:val="003B7D6B"/>
    <w:rsid w:val="003C1B71"/>
    <w:rsid w:val="003C2C0E"/>
    <w:rsid w:val="003C4B5F"/>
    <w:rsid w:val="003C58E5"/>
    <w:rsid w:val="003D069D"/>
    <w:rsid w:val="003D0AC1"/>
    <w:rsid w:val="003D2B13"/>
    <w:rsid w:val="003D43E4"/>
    <w:rsid w:val="003D5B6E"/>
    <w:rsid w:val="003D7642"/>
    <w:rsid w:val="003E0C86"/>
    <w:rsid w:val="003E1E84"/>
    <w:rsid w:val="003E37C2"/>
    <w:rsid w:val="003E4929"/>
    <w:rsid w:val="003F0F12"/>
    <w:rsid w:val="003F1559"/>
    <w:rsid w:val="003F2C99"/>
    <w:rsid w:val="003F4BF2"/>
    <w:rsid w:val="003F5624"/>
    <w:rsid w:val="003F6953"/>
    <w:rsid w:val="00403628"/>
    <w:rsid w:val="00405081"/>
    <w:rsid w:val="00407C5B"/>
    <w:rsid w:val="00410715"/>
    <w:rsid w:val="004159B5"/>
    <w:rsid w:val="00420CDF"/>
    <w:rsid w:val="00424CFE"/>
    <w:rsid w:val="0043060C"/>
    <w:rsid w:val="00431EB0"/>
    <w:rsid w:val="00434708"/>
    <w:rsid w:val="00434D2B"/>
    <w:rsid w:val="004352DA"/>
    <w:rsid w:val="00435F9A"/>
    <w:rsid w:val="004361BF"/>
    <w:rsid w:val="0043774F"/>
    <w:rsid w:val="004468EA"/>
    <w:rsid w:val="0045186B"/>
    <w:rsid w:val="00461314"/>
    <w:rsid w:val="004635E7"/>
    <w:rsid w:val="00464B19"/>
    <w:rsid w:val="0046739B"/>
    <w:rsid w:val="00467C7C"/>
    <w:rsid w:val="00467F69"/>
    <w:rsid w:val="00470D9B"/>
    <w:rsid w:val="0047207B"/>
    <w:rsid w:val="00472180"/>
    <w:rsid w:val="0047392F"/>
    <w:rsid w:val="004745C8"/>
    <w:rsid w:val="004802DD"/>
    <w:rsid w:val="00482373"/>
    <w:rsid w:val="00482F75"/>
    <w:rsid w:val="00483A31"/>
    <w:rsid w:val="00483A75"/>
    <w:rsid w:val="004840FE"/>
    <w:rsid w:val="00484DAA"/>
    <w:rsid w:val="00485467"/>
    <w:rsid w:val="0048598B"/>
    <w:rsid w:val="00494CBB"/>
    <w:rsid w:val="0049537E"/>
    <w:rsid w:val="004A2AA5"/>
    <w:rsid w:val="004A2D2F"/>
    <w:rsid w:val="004A4ADA"/>
    <w:rsid w:val="004A4BDB"/>
    <w:rsid w:val="004B1218"/>
    <w:rsid w:val="004B31D4"/>
    <w:rsid w:val="004B31F6"/>
    <w:rsid w:val="004B57FF"/>
    <w:rsid w:val="004B5874"/>
    <w:rsid w:val="004B5BD9"/>
    <w:rsid w:val="004C1D99"/>
    <w:rsid w:val="004C49CE"/>
    <w:rsid w:val="004C5D8A"/>
    <w:rsid w:val="004C7EB2"/>
    <w:rsid w:val="004D5FD2"/>
    <w:rsid w:val="004E01F5"/>
    <w:rsid w:val="004E026B"/>
    <w:rsid w:val="004E2C16"/>
    <w:rsid w:val="004F1E37"/>
    <w:rsid w:val="004F7284"/>
    <w:rsid w:val="00500B13"/>
    <w:rsid w:val="00503CC2"/>
    <w:rsid w:val="00504F25"/>
    <w:rsid w:val="00511079"/>
    <w:rsid w:val="0051108F"/>
    <w:rsid w:val="00511AEC"/>
    <w:rsid w:val="005129B0"/>
    <w:rsid w:val="0051448B"/>
    <w:rsid w:val="0052472B"/>
    <w:rsid w:val="0052669F"/>
    <w:rsid w:val="00531695"/>
    <w:rsid w:val="00534691"/>
    <w:rsid w:val="0053701B"/>
    <w:rsid w:val="0053764C"/>
    <w:rsid w:val="00544B6D"/>
    <w:rsid w:val="005459EE"/>
    <w:rsid w:val="00545AFF"/>
    <w:rsid w:val="005558A2"/>
    <w:rsid w:val="00555ADA"/>
    <w:rsid w:val="005576B8"/>
    <w:rsid w:val="00561043"/>
    <w:rsid w:val="00561F81"/>
    <w:rsid w:val="00562D07"/>
    <w:rsid w:val="00564052"/>
    <w:rsid w:val="00565A98"/>
    <w:rsid w:val="0056632A"/>
    <w:rsid w:val="00566EAF"/>
    <w:rsid w:val="005705D3"/>
    <w:rsid w:val="00571FAC"/>
    <w:rsid w:val="0057205A"/>
    <w:rsid w:val="00572DF7"/>
    <w:rsid w:val="00572F82"/>
    <w:rsid w:val="00576A32"/>
    <w:rsid w:val="00577556"/>
    <w:rsid w:val="00580370"/>
    <w:rsid w:val="00585799"/>
    <w:rsid w:val="005876A4"/>
    <w:rsid w:val="0058793E"/>
    <w:rsid w:val="00596F3B"/>
    <w:rsid w:val="00597AAD"/>
    <w:rsid w:val="005A5C4D"/>
    <w:rsid w:val="005A6EB2"/>
    <w:rsid w:val="005B3225"/>
    <w:rsid w:val="005B5C4A"/>
    <w:rsid w:val="005B787D"/>
    <w:rsid w:val="005C18DC"/>
    <w:rsid w:val="005C210E"/>
    <w:rsid w:val="005C2897"/>
    <w:rsid w:val="005C2BEA"/>
    <w:rsid w:val="005C446E"/>
    <w:rsid w:val="005C512E"/>
    <w:rsid w:val="005C624E"/>
    <w:rsid w:val="005C78AF"/>
    <w:rsid w:val="005C7C89"/>
    <w:rsid w:val="005D04A2"/>
    <w:rsid w:val="005D3E1E"/>
    <w:rsid w:val="005E0EBA"/>
    <w:rsid w:val="005E14E5"/>
    <w:rsid w:val="005E4057"/>
    <w:rsid w:val="005E4951"/>
    <w:rsid w:val="005E4D40"/>
    <w:rsid w:val="005F107A"/>
    <w:rsid w:val="005F3E87"/>
    <w:rsid w:val="005F5E75"/>
    <w:rsid w:val="006002FB"/>
    <w:rsid w:val="006006A5"/>
    <w:rsid w:val="00600CC9"/>
    <w:rsid w:val="00601D4E"/>
    <w:rsid w:val="00602BBC"/>
    <w:rsid w:val="00611234"/>
    <w:rsid w:val="006172D2"/>
    <w:rsid w:val="00620845"/>
    <w:rsid w:val="00621CAA"/>
    <w:rsid w:val="0062205E"/>
    <w:rsid w:val="006220FA"/>
    <w:rsid w:val="00624FA6"/>
    <w:rsid w:val="00625030"/>
    <w:rsid w:val="00627F4B"/>
    <w:rsid w:val="006313EE"/>
    <w:rsid w:val="00635293"/>
    <w:rsid w:val="0063677D"/>
    <w:rsid w:val="00636C79"/>
    <w:rsid w:val="0064447F"/>
    <w:rsid w:val="00660ED2"/>
    <w:rsid w:val="00661F6F"/>
    <w:rsid w:val="00673897"/>
    <w:rsid w:val="00676461"/>
    <w:rsid w:val="00677977"/>
    <w:rsid w:val="006840E7"/>
    <w:rsid w:val="006849C7"/>
    <w:rsid w:val="006901E3"/>
    <w:rsid w:val="0069337D"/>
    <w:rsid w:val="006936F4"/>
    <w:rsid w:val="006943BD"/>
    <w:rsid w:val="00694B24"/>
    <w:rsid w:val="00695C9B"/>
    <w:rsid w:val="006961DE"/>
    <w:rsid w:val="00696E66"/>
    <w:rsid w:val="006A13AB"/>
    <w:rsid w:val="006A5AA9"/>
    <w:rsid w:val="006B0095"/>
    <w:rsid w:val="006B4D13"/>
    <w:rsid w:val="006C2E78"/>
    <w:rsid w:val="006C7748"/>
    <w:rsid w:val="006D13E6"/>
    <w:rsid w:val="006D3056"/>
    <w:rsid w:val="006D4382"/>
    <w:rsid w:val="006D60AA"/>
    <w:rsid w:val="006D6710"/>
    <w:rsid w:val="006D752A"/>
    <w:rsid w:val="006E3A20"/>
    <w:rsid w:val="006E4492"/>
    <w:rsid w:val="006E5EBF"/>
    <w:rsid w:val="006E7A2D"/>
    <w:rsid w:val="006F1CBB"/>
    <w:rsid w:val="006F4167"/>
    <w:rsid w:val="006F6058"/>
    <w:rsid w:val="006F7376"/>
    <w:rsid w:val="00700DCC"/>
    <w:rsid w:val="00701FA0"/>
    <w:rsid w:val="007053B0"/>
    <w:rsid w:val="00707F4D"/>
    <w:rsid w:val="00715854"/>
    <w:rsid w:val="0071624D"/>
    <w:rsid w:val="00720F66"/>
    <w:rsid w:val="007222AA"/>
    <w:rsid w:val="00735DE4"/>
    <w:rsid w:val="00737625"/>
    <w:rsid w:val="00740F5E"/>
    <w:rsid w:val="00745621"/>
    <w:rsid w:val="00746911"/>
    <w:rsid w:val="00747A56"/>
    <w:rsid w:val="00750655"/>
    <w:rsid w:val="007510F4"/>
    <w:rsid w:val="00755A6C"/>
    <w:rsid w:val="00756F4B"/>
    <w:rsid w:val="0076283D"/>
    <w:rsid w:val="00764B80"/>
    <w:rsid w:val="00764C9A"/>
    <w:rsid w:val="00771406"/>
    <w:rsid w:val="007717D8"/>
    <w:rsid w:val="007731D6"/>
    <w:rsid w:val="007752D0"/>
    <w:rsid w:val="00780FC5"/>
    <w:rsid w:val="0078122F"/>
    <w:rsid w:val="0078182D"/>
    <w:rsid w:val="00782D4D"/>
    <w:rsid w:val="00790C06"/>
    <w:rsid w:val="00790FDA"/>
    <w:rsid w:val="00791275"/>
    <w:rsid w:val="00793F50"/>
    <w:rsid w:val="00794D57"/>
    <w:rsid w:val="00795E58"/>
    <w:rsid w:val="0079612A"/>
    <w:rsid w:val="00796DE8"/>
    <w:rsid w:val="007A0FF7"/>
    <w:rsid w:val="007A4706"/>
    <w:rsid w:val="007A733C"/>
    <w:rsid w:val="007B5C73"/>
    <w:rsid w:val="007B732B"/>
    <w:rsid w:val="007C1585"/>
    <w:rsid w:val="007C24B8"/>
    <w:rsid w:val="007C35EB"/>
    <w:rsid w:val="007C70D6"/>
    <w:rsid w:val="007D1316"/>
    <w:rsid w:val="007D2713"/>
    <w:rsid w:val="007D40F5"/>
    <w:rsid w:val="007E3703"/>
    <w:rsid w:val="007E6414"/>
    <w:rsid w:val="007E6A9F"/>
    <w:rsid w:val="007F299F"/>
    <w:rsid w:val="007F350E"/>
    <w:rsid w:val="007F3631"/>
    <w:rsid w:val="007F533F"/>
    <w:rsid w:val="007F5432"/>
    <w:rsid w:val="007F552D"/>
    <w:rsid w:val="007F5B49"/>
    <w:rsid w:val="007F77F4"/>
    <w:rsid w:val="00800254"/>
    <w:rsid w:val="00800771"/>
    <w:rsid w:val="00804166"/>
    <w:rsid w:val="008051A4"/>
    <w:rsid w:val="00806D59"/>
    <w:rsid w:val="008079E4"/>
    <w:rsid w:val="00812B8D"/>
    <w:rsid w:val="008130B7"/>
    <w:rsid w:val="00813A56"/>
    <w:rsid w:val="008145FA"/>
    <w:rsid w:val="00816474"/>
    <w:rsid w:val="00816B8E"/>
    <w:rsid w:val="008215AE"/>
    <w:rsid w:val="00822ABC"/>
    <w:rsid w:val="00823936"/>
    <w:rsid w:val="00824A42"/>
    <w:rsid w:val="00824D58"/>
    <w:rsid w:val="008277AD"/>
    <w:rsid w:val="00827835"/>
    <w:rsid w:val="0083080E"/>
    <w:rsid w:val="00831A51"/>
    <w:rsid w:val="008378BB"/>
    <w:rsid w:val="00840283"/>
    <w:rsid w:val="00842B8E"/>
    <w:rsid w:val="00844607"/>
    <w:rsid w:val="00854F80"/>
    <w:rsid w:val="0085593A"/>
    <w:rsid w:val="00855EC2"/>
    <w:rsid w:val="00857353"/>
    <w:rsid w:val="0086236F"/>
    <w:rsid w:val="00862D26"/>
    <w:rsid w:val="0086670B"/>
    <w:rsid w:val="008676F1"/>
    <w:rsid w:val="00870DAE"/>
    <w:rsid w:val="00872E40"/>
    <w:rsid w:val="008736A5"/>
    <w:rsid w:val="00874D54"/>
    <w:rsid w:val="00876078"/>
    <w:rsid w:val="0087715C"/>
    <w:rsid w:val="00877607"/>
    <w:rsid w:val="0088136F"/>
    <w:rsid w:val="00881CA5"/>
    <w:rsid w:val="00882373"/>
    <w:rsid w:val="00885C62"/>
    <w:rsid w:val="00887646"/>
    <w:rsid w:val="00890F84"/>
    <w:rsid w:val="00893064"/>
    <w:rsid w:val="008A1711"/>
    <w:rsid w:val="008A2162"/>
    <w:rsid w:val="008A2681"/>
    <w:rsid w:val="008A29CD"/>
    <w:rsid w:val="008A3C34"/>
    <w:rsid w:val="008A75CF"/>
    <w:rsid w:val="008B0944"/>
    <w:rsid w:val="008B356D"/>
    <w:rsid w:val="008B4402"/>
    <w:rsid w:val="008B6A54"/>
    <w:rsid w:val="008B6E6A"/>
    <w:rsid w:val="008B7C09"/>
    <w:rsid w:val="008C1BFE"/>
    <w:rsid w:val="008C3243"/>
    <w:rsid w:val="008C3F73"/>
    <w:rsid w:val="008C6694"/>
    <w:rsid w:val="008C7783"/>
    <w:rsid w:val="008D00C5"/>
    <w:rsid w:val="008D2B1B"/>
    <w:rsid w:val="008D77C6"/>
    <w:rsid w:val="008D7B12"/>
    <w:rsid w:val="008E1000"/>
    <w:rsid w:val="008E2916"/>
    <w:rsid w:val="008E40BE"/>
    <w:rsid w:val="008E65DF"/>
    <w:rsid w:val="008E66FD"/>
    <w:rsid w:val="008E6D32"/>
    <w:rsid w:val="008E7587"/>
    <w:rsid w:val="008F0097"/>
    <w:rsid w:val="008F068A"/>
    <w:rsid w:val="008F0D82"/>
    <w:rsid w:val="008F0F82"/>
    <w:rsid w:val="008F2920"/>
    <w:rsid w:val="008F2E64"/>
    <w:rsid w:val="009008B5"/>
    <w:rsid w:val="00900C9D"/>
    <w:rsid w:val="00921E78"/>
    <w:rsid w:val="00921ED0"/>
    <w:rsid w:val="00923A9E"/>
    <w:rsid w:val="009241A7"/>
    <w:rsid w:val="009251EE"/>
    <w:rsid w:val="009266C5"/>
    <w:rsid w:val="009273C8"/>
    <w:rsid w:val="0093179C"/>
    <w:rsid w:val="0093390B"/>
    <w:rsid w:val="00934A8F"/>
    <w:rsid w:val="009364CE"/>
    <w:rsid w:val="009421F4"/>
    <w:rsid w:val="00952585"/>
    <w:rsid w:val="009552D1"/>
    <w:rsid w:val="00957A58"/>
    <w:rsid w:val="009636A3"/>
    <w:rsid w:val="00965540"/>
    <w:rsid w:val="0096619E"/>
    <w:rsid w:val="0096699F"/>
    <w:rsid w:val="00972A22"/>
    <w:rsid w:val="00975BD3"/>
    <w:rsid w:val="00975CE5"/>
    <w:rsid w:val="009802DC"/>
    <w:rsid w:val="009820E0"/>
    <w:rsid w:val="00982190"/>
    <w:rsid w:val="009872D4"/>
    <w:rsid w:val="00987A6B"/>
    <w:rsid w:val="009901C4"/>
    <w:rsid w:val="0099186B"/>
    <w:rsid w:val="009918E1"/>
    <w:rsid w:val="00992512"/>
    <w:rsid w:val="009A0C61"/>
    <w:rsid w:val="009A0C6A"/>
    <w:rsid w:val="009A113E"/>
    <w:rsid w:val="009A1618"/>
    <w:rsid w:val="009A4B93"/>
    <w:rsid w:val="009A6E7E"/>
    <w:rsid w:val="009B58E8"/>
    <w:rsid w:val="009C02DE"/>
    <w:rsid w:val="009C19B1"/>
    <w:rsid w:val="009C1C26"/>
    <w:rsid w:val="009C37CC"/>
    <w:rsid w:val="009C44EA"/>
    <w:rsid w:val="009C552E"/>
    <w:rsid w:val="009C65AE"/>
    <w:rsid w:val="009D21F4"/>
    <w:rsid w:val="009E4B0D"/>
    <w:rsid w:val="009E505B"/>
    <w:rsid w:val="009E5B12"/>
    <w:rsid w:val="009F2CF3"/>
    <w:rsid w:val="009F3618"/>
    <w:rsid w:val="009F3644"/>
    <w:rsid w:val="009F5DC8"/>
    <w:rsid w:val="00A01306"/>
    <w:rsid w:val="00A02437"/>
    <w:rsid w:val="00A06421"/>
    <w:rsid w:val="00A07108"/>
    <w:rsid w:val="00A074CE"/>
    <w:rsid w:val="00A121E3"/>
    <w:rsid w:val="00A155C9"/>
    <w:rsid w:val="00A20EC8"/>
    <w:rsid w:val="00A21B5C"/>
    <w:rsid w:val="00A227D2"/>
    <w:rsid w:val="00A301B6"/>
    <w:rsid w:val="00A336AA"/>
    <w:rsid w:val="00A360DD"/>
    <w:rsid w:val="00A40065"/>
    <w:rsid w:val="00A45065"/>
    <w:rsid w:val="00A50B2D"/>
    <w:rsid w:val="00A50F35"/>
    <w:rsid w:val="00A5106F"/>
    <w:rsid w:val="00A51570"/>
    <w:rsid w:val="00A52958"/>
    <w:rsid w:val="00A55B4F"/>
    <w:rsid w:val="00A57897"/>
    <w:rsid w:val="00A61439"/>
    <w:rsid w:val="00A63518"/>
    <w:rsid w:val="00A67C8D"/>
    <w:rsid w:val="00A7134A"/>
    <w:rsid w:val="00A80AC1"/>
    <w:rsid w:val="00A80B08"/>
    <w:rsid w:val="00A82125"/>
    <w:rsid w:val="00A8213E"/>
    <w:rsid w:val="00A82AC0"/>
    <w:rsid w:val="00A836FB"/>
    <w:rsid w:val="00A85ABF"/>
    <w:rsid w:val="00A915AA"/>
    <w:rsid w:val="00A9346E"/>
    <w:rsid w:val="00A95A5A"/>
    <w:rsid w:val="00AA0037"/>
    <w:rsid w:val="00AA3228"/>
    <w:rsid w:val="00AB3E5E"/>
    <w:rsid w:val="00AB48CB"/>
    <w:rsid w:val="00AB6C95"/>
    <w:rsid w:val="00AB73B2"/>
    <w:rsid w:val="00AC00FC"/>
    <w:rsid w:val="00AC22DF"/>
    <w:rsid w:val="00AC4657"/>
    <w:rsid w:val="00AD00C8"/>
    <w:rsid w:val="00AD0155"/>
    <w:rsid w:val="00AD4871"/>
    <w:rsid w:val="00AD533C"/>
    <w:rsid w:val="00AD743E"/>
    <w:rsid w:val="00AD7F11"/>
    <w:rsid w:val="00AE61AB"/>
    <w:rsid w:val="00AF00DC"/>
    <w:rsid w:val="00AF235F"/>
    <w:rsid w:val="00AF28BD"/>
    <w:rsid w:val="00AF290A"/>
    <w:rsid w:val="00AF43BA"/>
    <w:rsid w:val="00AF636D"/>
    <w:rsid w:val="00AF68AA"/>
    <w:rsid w:val="00B01E04"/>
    <w:rsid w:val="00B024A1"/>
    <w:rsid w:val="00B02E09"/>
    <w:rsid w:val="00B10486"/>
    <w:rsid w:val="00B104EB"/>
    <w:rsid w:val="00B17545"/>
    <w:rsid w:val="00B21884"/>
    <w:rsid w:val="00B21AC8"/>
    <w:rsid w:val="00B231F5"/>
    <w:rsid w:val="00B33067"/>
    <w:rsid w:val="00B3789B"/>
    <w:rsid w:val="00B3799E"/>
    <w:rsid w:val="00B42316"/>
    <w:rsid w:val="00B43FA0"/>
    <w:rsid w:val="00B517EF"/>
    <w:rsid w:val="00B5290E"/>
    <w:rsid w:val="00B53B53"/>
    <w:rsid w:val="00B55849"/>
    <w:rsid w:val="00B56A11"/>
    <w:rsid w:val="00B64946"/>
    <w:rsid w:val="00B66186"/>
    <w:rsid w:val="00B66273"/>
    <w:rsid w:val="00B7093D"/>
    <w:rsid w:val="00B72C2A"/>
    <w:rsid w:val="00B73E85"/>
    <w:rsid w:val="00B74512"/>
    <w:rsid w:val="00B8011A"/>
    <w:rsid w:val="00B81D1A"/>
    <w:rsid w:val="00B8209F"/>
    <w:rsid w:val="00B85720"/>
    <w:rsid w:val="00B86C0F"/>
    <w:rsid w:val="00B924B9"/>
    <w:rsid w:val="00B94904"/>
    <w:rsid w:val="00B94A1D"/>
    <w:rsid w:val="00BA06FB"/>
    <w:rsid w:val="00BA1950"/>
    <w:rsid w:val="00BA1CCB"/>
    <w:rsid w:val="00BB3EC9"/>
    <w:rsid w:val="00BB56FD"/>
    <w:rsid w:val="00BB6746"/>
    <w:rsid w:val="00BB7A6A"/>
    <w:rsid w:val="00BD1229"/>
    <w:rsid w:val="00BD2C36"/>
    <w:rsid w:val="00BD6299"/>
    <w:rsid w:val="00BD696B"/>
    <w:rsid w:val="00BE0271"/>
    <w:rsid w:val="00BE38A6"/>
    <w:rsid w:val="00BF03CF"/>
    <w:rsid w:val="00BF0572"/>
    <w:rsid w:val="00BF0B79"/>
    <w:rsid w:val="00BF3180"/>
    <w:rsid w:val="00BF682C"/>
    <w:rsid w:val="00C0246F"/>
    <w:rsid w:val="00C026FB"/>
    <w:rsid w:val="00C02C16"/>
    <w:rsid w:val="00C02DF8"/>
    <w:rsid w:val="00C0363E"/>
    <w:rsid w:val="00C04E56"/>
    <w:rsid w:val="00C05853"/>
    <w:rsid w:val="00C0655C"/>
    <w:rsid w:val="00C07405"/>
    <w:rsid w:val="00C11BF0"/>
    <w:rsid w:val="00C153DB"/>
    <w:rsid w:val="00C206E9"/>
    <w:rsid w:val="00C20AF2"/>
    <w:rsid w:val="00C22CF4"/>
    <w:rsid w:val="00C2445F"/>
    <w:rsid w:val="00C2524C"/>
    <w:rsid w:val="00C26F07"/>
    <w:rsid w:val="00C326A8"/>
    <w:rsid w:val="00C34420"/>
    <w:rsid w:val="00C358AD"/>
    <w:rsid w:val="00C40E9A"/>
    <w:rsid w:val="00C42DCF"/>
    <w:rsid w:val="00C42F28"/>
    <w:rsid w:val="00C4379C"/>
    <w:rsid w:val="00C43EC6"/>
    <w:rsid w:val="00C50EC1"/>
    <w:rsid w:val="00C576AE"/>
    <w:rsid w:val="00C57B12"/>
    <w:rsid w:val="00C610A9"/>
    <w:rsid w:val="00C66FE6"/>
    <w:rsid w:val="00C71955"/>
    <w:rsid w:val="00C72738"/>
    <w:rsid w:val="00C7293B"/>
    <w:rsid w:val="00C748C5"/>
    <w:rsid w:val="00C74CE5"/>
    <w:rsid w:val="00C81518"/>
    <w:rsid w:val="00C81CAD"/>
    <w:rsid w:val="00C91920"/>
    <w:rsid w:val="00C9241F"/>
    <w:rsid w:val="00C94C13"/>
    <w:rsid w:val="00C95F9F"/>
    <w:rsid w:val="00CA06FF"/>
    <w:rsid w:val="00CA15EC"/>
    <w:rsid w:val="00CA597D"/>
    <w:rsid w:val="00CA5B32"/>
    <w:rsid w:val="00CA6087"/>
    <w:rsid w:val="00CA655D"/>
    <w:rsid w:val="00CB07D0"/>
    <w:rsid w:val="00CB365F"/>
    <w:rsid w:val="00CB5BEA"/>
    <w:rsid w:val="00CB6440"/>
    <w:rsid w:val="00CB7578"/>
    <w:rsid w:val="00CC0A3C"/>
    <w:rsid w:val="00CC28DF"/>
    <w:rsid w:val="00CC48ED"/>
    <w:rsid w:val="00CC53E6"/>
    <w:rsid w:val="00CD13F4"/>
    <w:rsid w:val="00CD2B42"/>
    <w:rsid w:val="00CD4ED9"/>
    <w:rsid w:val="00CD6AB1"/>
    <w:rsid w:val="00CE382D"/>
    <w:rsid w:val="00CE4D75"/>
    <w:rsid w:val="00CE6C9A"/>
    <w:rsid w:val="00CF2BD5"/>
    <w:rsid w:val="00CF7362"/>
    <w:rsid w:val="00D00730"/>
    <w:rsid w:val="00D06795"/>
    <w:rsid w:val="00D06E05"/>
    <w:rsid w:val="00D06E8A"/>
    <w:rsid w:val="00D10912"/>
    <w:rsid w:val="00D1118B"/>
    <w:rsid w:val="00D132EC"/>
    <w:rsid w:val="00D1536F"/>
    <w:rsid w:val="00D1567B"/>
    <w:rsid w:val="00D16FED"/>
    <w:rsid w:val="00D21E71"/>
    <w:rsid w:val="00D31517"/>
    <w:rsid w:val="00D31C91"/>
    <w:rsid w:val="00D33522"/>
    <w:rsid w:val="00D4016C"/>
    <w:rsid w:val="00D439D8"/>
    <w:rsid w:val="00D44B85"/>
    <w:rsid w:val="00D510A5"/>
    <w:rsid w:val="00D5147D"/>
    <w:rsid w:val="00D51790"/>
    <w:rsid w:val="00D53004"/>
    <w:rsid w:val="00D573DE"/>
    <w:rsid w:val="00D60EE5"/>
    <w:rsid w:val="00D61269"/>
    <w:rsid w:val="00D624C9"/>
    <w:rsid w:val="00D63721"/>
    <w:rsid w:val="00D6401D"/>
    <w:rsid w:val="00D667B4"/>
    <w:rsid w:val="00D67348"/>
    <w:rsid w:val="00D74EF9"/>
    <w:rsid w:val="00D8080C"/>
    <w:rsid w:val="00D8381C"/>
    <w:rsid w:val="00D84572"/>
    <w:rsid w:val="00D853FD"/>
    <w:rsid w:val="00D858AE"/>
    <w:rsid w:val="00D86712"/>
    <w:rsid w:val="00D922FC"/>
    <w:rsid w:val="00D92740"/>
    <w:rsid w:val="00D9318B"/>
    <w:rsid w:val="00D9645D"/>
    <w:rsid w:val="00DA5034"/>
    <w:rsid w:val="00DB0084"/>
    <w:rsid w:val="00DB2C87"/>
    <w:rsid w:val="00DB5D12"/>
    <w:rsid w:val="00DC259F"/>
    <w:rsid w:val="00DC4EF0"/>
    <w:rsid w:val="00DC6282"/>
    <w:rsid w:val="00DD0702"/>
    <w:rsid w:val="00DD18FE"/>
    <w:rsid w:val="00DD7C6B"/>
    <w:rsid w:val="00DE1262"/>
    <w:rsid w:val="00DE209B"/>
    <w:rsid w:val="00DE2419"/>
    <w:rsid w:val="00DF100D"/>
    <w:rsid w:val="00DF27E5"/>
    <w:rsid w:val="00DF5CA8"/>
    <w:rsid w:val="00DF7450"/>
    <w:rsid w:val="00E005D4"/>
    <w:rsid w:val="00E00B5E"/>
    <w:rsid w:val="00E00C69"/>
    <w:rsid w:val="00E01DFD"/>
    <w:rsid w:val="00E01E6A"/>
    <w:rsid w:val="00E025B8"/>
    <w:rsid w:val="00E03A86"/>
    <w:rsid w:val="00E05363"/>
    <w:rsid w:val="00E07237"/>
    <w:rsid w:val="00E13CF1"/>
    <w:rsid w:val="00E15C3D"/>
    <w:rsid w:val="00E204CE"/>
    <w:rsid w:val="00E218A7"/>
    <w:rsid w:val="00E21987"/>
    <w:rsid w:val="00E27746"/>
    <w:rsid w:val="00E30012"/>
    <w:rsid w:val="00E36391"/>
    <w:rsid w:val="00E36939"/>
    <w:rsid w:val="00E36F7B"/>
    <w:rsid w:val="00E36FFD"/>
    <w:rsid w:val="00E42952"/>
    <w:rsid w:val="00E43FC5"/>
    <w:rsid w:val="00E44867"/>
    <w:rsid w:val="00E46B3E"/>
    <w:rsid w:val="00E552AB"/>
    <w:rsid w:val="00E60EF1"/>
    <w:rsid w:val="00E611D9"/>
    <w:rsid w:val="00E67837"/>
    <w:rsid w:val="00E721CB"/>
    <w:rsid w:val="00E76BBE"/>
    <w:rsid w:val="00E91C19"/>
    <w:rsid w:val="00E95825"/>
    <w:rsid w:val="00EA0EEA"/>
    <w:rsid w:val="00EA5F89"/>
    <w:rsid w:val="00EB0692"/>
    <w:rsid w:val="00EB1CC4"/>
    <w:rsid w:val="00EB268A"/>
    <w:rsid w:val="00EB32AE"/>
    <w:rsid w:val="00EC154B"/>
    <w:rsid w:val="00EC5BC0"/>
    <w:rsid w:val="00ED5C61"/>
    <w:rsid w:val="00ED5F2C"/>
    <w:rsid w:val="00ED77DA"/>
    <w:rsid w:val="00ED7DE9"/>
    <w:rsid w:val="00EE068D"/>
    <w:rsid w:val="00EE2FC0"/>
    <w:rsid w:val="00EF118A"/>
    <w:rsid w:val="00EF1FFF"/>
    <w:rsid w:val="00EF25C6"/>
    <w:rsid w:val="00EF27F8"/>
    <w:rsid w:val="00EF2E3D"/>
    <w:rsid w:val="00F02B0A"/>
    <w:rsid w:val="00F04EC7"/>
    <w:rsid w:val="00F13B20"/>
    <w:rsid w:val="00F1576E"/>
    <w:rsid w:val="00F20B63"/>
    <w:rsid w:val="00F264A9"/>
    <w:rsid w:val="00F3133E"/>
    <w:rsid w:val="00F31CCD"/>
    <w:rsid w:val="00F33485"/>
    <w:rsid w:val="00F411FC"/>
    <w:rsid w:val="00F43A0F"/>
    <w:rsid w:val="00F46D58"/>
    <w:rsid w:val="00F47D58"/>
    <w:rsid w:val="00F511D1"/>
    <w:rsid w:val="00F5477C"/>
    <w:rsid w:val="00F55F58"/>
    <w:rsid w:val="00F60DC3"/>
    <w:rsid w:val="00F61B80"/>
    <w:rsid w:val="00F64F34"/>
    <w:rsid w:val="00F65A04"/>
    <w:rsid w:val="00F66873"/>
    <w:rsid w:val="00F70093"/>
    <w:rsid w:val="00F70958"/>
    <w:rsid w:val="00F7504C"/>
    <w:rsid w:val="00F824A9"/>
    <w:rsid w:val="00F83EC0"/>
    <w:rsid w:val="00F860B8"/>
    <w:rsid w:val="00F87999"/>
    <w:rsid w:val="00F91A7E"/>
    <w:rsid w:val="00F94163"/>
    <w:rsid w:val="00F95018"/>
    <w:rsid w:val="00F95D39"/>
    <w:rsid w:val="00F96CE3"/>
    <w:rsid w:val="00F97307"/>
    <w:rsid w:val="00FA5EDD"/>
    <w:rsid w:val="00FB0E30"/>
    <w:rsid w:val="00FB0E58"/>
    <w:rsid w:val="00FB1A58"/>
    <w:rsid w:val="00FB45A1"/>
    <w:rsid w:val="00FB4934"/>
    <w:rsid w:val="00FB55C6"/>
    <w:rsid w:val="00FC07B8"/>
    <w:rsid w:val="00FC08A6"/>
    <w:rsid w:val="00FC1499"/>
    <w:rsid w:val="00FC5003"/>
    <w:rsid w:val="00FC53B0"/>
    <w:rsid w:val="00FD11F9"/>
    <w:rsid w:val="00FD4AC7"/>
    <w:rsid w:val="00FD59DA"/>
    <w:rsid w:val="00FD6C1C"/>
    <w:rsid w:val="00FD7140"/>
    <w:rsid w:val="00FE05F2"/>
    <w:rsid w:val="00FE1391"/>
    <w:rsid w:val="00FE197C"/>
    <w:rsid w:val="00FE1E99"/>
    <w:rsid w:val="00FE46CB"/>
    <w:rsid w:val="00FE4F0E"/>
    <w:rsid w:val="00FE5953"/>
    <w:rsid w:val="00FE5E97"/>
    <w:rsid w:val="00FE69C2"/>
    <w:rsid w:val="00FE6ABB"/>
    <w:rsid w:val="00FF0761"/>
    <w:rsid w:val="00FF422B"/>
    <w:rsid w:val="00FF4C02"/>
    <w:rsid w:val="00FF6487"/>
    <w:rsid w:val="00FF6E26"/>
    <w:rsid w:val="00FF781E"/>
    <w:rsid w:val="37233D9F"/>
    <w:rsid w:val="77405EDE"/>
    <w:rsid w:val="7AE27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710</Words>
  <Characters>131</Characters>
  <Lines>1</Lines>
  <Paragraphs>1</Paragraphs>
  <TotalTime>2</TotalTime>
  <ScaleCrop>false</ScaleCrop>
  <LinksUpToDate>false</LinksUpToDate>
  <CharactersWithSpaces>840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2024-09-09T02:04:00Z</dcterms:created>
  <dc:creator>Yanglei</dc:creator>
  <cp:lastModifiedBy>杨颖</cp:lastModifiedBy>
  <dcterms:modified xsi:type="dcterms:W3CDTF">2025-06-19T07:25:34Z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eyJoZGlkIjoiNTEyNjMwZGQyOGU0M2FlZWRkYjc4OWFkMWI0MjI2NTgiLCJ1c2VySWQiOiIyNDQ4OTExNTAifQ==</vt:lpwstr>
  </property>
  <property fmtid="{D5CDD505-2E9C-101B-9397-08002B2CF9AE}" pid="3" name="KSOProductBuildVer">
    <vt:lpwstr>2052-11.8.2.10229</vt:lpwstr>
  </property>
  <property fmtid="{D5CDD505-2E9C-101B-9397-08002B2CF9AE}" pid="4" name="ICV">
    <vt:lpwstr>71546D5431D44B74AA51D82CB2A1A326_12</vt:lpwstr>
  </property>
</Properties>
</file>