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65FC8">
      <w:pPr>
        <w:adjustRightInd w:val="0"/>
        <w:snapToGrid w:val="0"/>
        <w:spacing w:line="594" w:lineRule="exact"/>
        <w:jc w:val="center"/>
        <w:rPr>
          <w:rFonts w:eastAsia="方正小标宋简体"/>
          <w:color w:val="000000"/>
          <w:sz w:val="36"/>
          <w:szCs w:val="36"/>
        </w:rPr>
      </w:pPr>
      <w:r>
        <w:rPr>
          <w:rFonts w:hint="eastAsia" w:eastAsia="方正小标宋简体"/>
          <w:color w:val="000000"/>
          <w:sz w:val="36"/>
          <w:szCs w:val="36"/>
        </w:rPr>
        <w:t>西藏自治区</w:t>
      </w:r>
      <w:r>
        <w:rPr>
          <w:rFonts w:eastAsia="方正小标宋简体"/>
          <w:color w:val="000000"/>
          <w:sz w:val="36"/>
          <w:szCs w:val="36"/>
        </w:rPr>
        <w:t>餐具洗涤剂产品质量监督抽查实施细则</w:t>
      </w:r>
    </w:p>
    <w:p w14:paraId="10349E73">
      <w:pPr>
        <w:adjustRightInd w:val="0"/>
        <w:snapToGrid w:val="0"/>
        <w:spacing w:line="594" w:lineRule="exact"/>
        <w:jc w:val="center"/>
        <w:rPr>
          <w:rFonts w:eastAsia="方正小标宋简体"/>
          <w:color w:val="000000"/>
          <w:sz w:val="32"/>
          <w:szCs w:val="32"/>
        </w:rPr>
      </w:pPr>
      <w:r>
        <w:rPr>
          <w:rFonts w:eastAsia="方正小标宋简体"/>
          <w:color w:val="000000"/>
          <w:sz w:val="36"/>
          <w:szCs w:val="36"/>
        </w:rPr>
        <w:t>（</w:t>
      </w:r>
      <w:r>
        <w:rPr>
          <w:rFonts w:hint="eastAsia" w:eastAsia="方正小标宋简体"/>
          <w:color w:val="000000"/>
          <w:sz w:val="36"/>
          <w:szCs w:val="36"/>
        </w:rPr>
        <w:t>202</w:t>
      </w:r>
      <w:r>
        <w:rPr>
          <w:rFonts w:hint="eastAsia" w:eastAsia="方正小标宋简体"/>
          <w:color w:val="000000"/>
          <w:sz w:val="36"/>
          <w:szCs w:val="36"/>
          <w:lang w:val="en-US" w:eastAsia="zh-CN"/>
        </w:rPr>
        <w:t>5</w:t>
      </w:r>
      <w:r>
        <w:rPr>
          <w:rFonts w:eastAsia="方正小标宋简体"/>
          <w:color w:val="000000"/>
          <w:sz w:val="36"/>
          <w:szCs w:val="36"/>
        </w:rPr>
        <w:t>版）</w:t>
      </w:r>
    </w:p>
    <w:p w14:paraId="62A6B5BF">
      <w:pPr>
        <w:adjustRightInd w:val="0"/>
        <w:snapToGrid w:val="0"/>
        <w:spacing w:line="594" w:lineRule="exact"/>
        <w:jc w:val="center"/>
        <w:rPr>
          <w:rFonts w:eastAsia="方正小标宋简体"/>
          <w:color w:val="000000"/>
          <w:sz w:val="32"/>
          <w:szCs w:val="32"/>
        </w:rPr>
      </w:pPr>
    </w:p>
    <w:p w14:paraId="6A13C5D0">
      <w:pPr>
        <w:snapToGrid w:val="0"/>
        <w:spacing w:line="440" w:lineRule="exact"/>
        <w:rPr>
          <w:rFonts w:eastAsia="黑体"/>
          <w:color w:val="000000"/>
          <w:szCs w:val="21"/>
        </w:rPr>
      </w:pPr>
      <w:r>
        <w:rPr>
          <w:rFonts w:eastAsia="黑体"/>
          <w:color w:val="000000"/>
          <w:szCs w:val="21"/>
        </w:rPr>
        <w:t>1 抽样方法</w:t>
      </w:r>
    </w:p>
    <w:p w14:paraId="39C4CA28">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43936417">
      <w:pPr>
        <w:snapToGrid w:val="0"/>
        <w:spacing w:line="440" w:lineRule="exact"/>
        <w:ind w:firstLine="420" w:firstLineChars="200"/>
        <w:rPr>
          <w:color w:val="000000"/>
          <w:szCs w:val="21"/>
        </w:rPr>
      </w:pPr>
      <w:r>
        <w:rPr>
          <w:color w:val="000000"/>
          <w:szCs w:val="21"/>
        </w:rPr>
        <w:t>随机数一般可使用随机数表等方法产生</w:t>
      </w:r>
      <w:r>
        <w:rPr>
          <w:rFonts w:hint="eastAsia"/>
          <w:color w:val="000000"/>
          <w:szCs w:val="21"/>
        </w:rPr>
        <w:t>，样品抽取数量见表1</w:t>
      </w:r>
      <w:r>
        <w:rPr>
          <w:color w:val="000000"/>
          <w:szCs w:val="21"/>
        </w:rPr>
        <w:t>。</w:t>
      </w:r>
    </w:p>
    <w:p w14:paraId="092DD636">
      <w:pPr>
        <w:snapToGrid w:val="0"/>
        <w:spacing w:line="440" w:lineRule="exact"/>
        <w:ind w:firstLine="420" w:firstLineChars="200"/>
        <w:jc w:val="center"/>
        <w:rPr>
          <w:color w:val="000000"/>
          <w:szCs w:val="21"/>
        </w:rPr>
      </w:pPr>
      <w:r>
        <w:rPr>
          <w:color w:val="000000"/>
          <w:szCs w:val="21"/>
        </w:rPr>
        <w:t>表1 抽取样品数量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2059"/>
        <w:gridCol w:w="3186"/>
        <w:gridCol w:w="1559"/>
        <w:gridCol w:w="1642"/>
      </w:tblGrid>
      <w:tr w14:paraId="2EDC4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1A68F395">
            <w:pPr>
              <w:snapToGrid w:val="0"/>
              <w:jc w:val="center"/>
              <w:rPr>
                <w:szCs w:val="21"/>
              </w:rPr>
            </w:pPr>
            <w:r>
              <w:rPr>
                <w:szCs w:val="21"/>
              </w:rPr>
              <w:t>序号</w:t>
            </w:r>
          </w:p>
        </w:tc>
        <w:tc>
          <w:tcPr>
            <w:tcW w:w="2059" w:type="dxa"/>
            <w:vAlign w:val="center"/>
          </w:tcPr>
          <w:p w14:paraId="59F3C861">
            <w:pPr>
              <w:snapToGrid w:val="0"/>
              <w:jc w:val="center"/>
              <w:rPr>
                <w:color w:val="000000"/>
                <w:szCs w:val="21"/>
              </w:rPr>
            </w:pPr>
            <w:r>
              <w:rPr>
                <w:szCs w:val="21"/>
              </w:rPr>
              <w:t>产品种类</w:t>
            </w:r>
          </w:p>
        </w:tc>
        <w:tc>
          <w:tcPr>
            <w:tcW w:w="3186" w:type="dxa"/>
            <w:vAlign w:val="center"/>
          </w:tcPr>
          <w:p w14:paraId="0F9B858A">
            <w:pPr>
              <w:snapToGrid w:val="0"/>
              <w:jc w:val="center"/>
              <w:rPr>
                <w:color w:val="000000"/>
                <w:szCs w:val="21"/>
              </w:rPr>
            </w:pPr>
            <w:r>
              <w:rPr>
                <w:color w:val="000000"/>
                <w:szCs w:val="21"/>
              </w:rPr>
              <w:t>抽样数量（个）</w:t>
            </w:r>
          </w:p>
        </w:tc>
        <w:tc>
          <w:tcPr>
            <w:tcW w:w="1559" w:type="dxa"/>
            <w:vAlign w:val="center"/>
          </w:tcPr>
          <w:p w14:paraId="7A123A9E">
            <w:pPr>
              <w:snapToGrid w:val="0"/>
              <w:jc w:val="center"/>
              <w:rPr>
                <w:color w:val="000000"/>
                <w:szCs w:val="21"/>
              </w:rPr>
            </w:pPr>
            <w:r>
              <w:rPr>
                <w:color w:val="000000"/>
                <w:szCs w:val="21"/>
              </w:rPr>
              <w:t>检验样品数量（个）</w:t>
            </w:r>
          </w:p>
        </w:tc>
        <w:tc>
          <w:tcPr>
            <w:tcW w:w="1642" w:type="dxa"/>
            <w:vAlign w:val="center"/>
          </w:tcPr>
          <w:p w14:paraId="4107BA55">
            <w:pPr>
              <w:snapToGrid w:val="0"/>
              <w:jc w:val="center"/>
              <w:rPr>
                <w:color w:val="000000"/>
                <w:szCs w:val="21"/>
              </w:rPr>
            </w:pPr>
            <w:r>
              <w:rPr>
                <w:color w:val="000000"/>
                <w:szCs w:val="21"/>
              </w:rPr>
              <w:t>备用样品数量（个）</w:t>
            </w:r>
          </w:p>
        </w:tc>
      </w:tr>
      <w:tr w14:paraId="441E8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0705DA5D">
            <w:pPr>
              <w:snapToGrid w:val="0"/>
              <w:jc w:val="center"/>
              <w:rPr>
                <w:szCs w:val="21"/>
              </w:rPr>
            </w:pPr>
            <w:r>
              <w:rPr>
                <w:szCs w:val="21"/>
              </w:rPr>
              <w:t>1</w:t>
            </w:r>
          </w:p>
        </w:tc>
        <w:tc>
          <w:tcPr>
            <w:tcW w:w="2059" w:type="dxa"/>
            <w:vAlign w:val="center"/>
          </w:tcPr>
          <w:p w14:paraId="03D608D4">
            <w:pPr>
              <w:snapToGrid w:val="0"/>
              <w:jc w:val="center"/>
              <w:rPr>
                <w:szCs w:val="21"/>
              </w:rPr>
            </w:pPr>
            <w:r>
              <w:rPr>
                <w:szCs w:val="21"/>
              </w:rPr>
              <w:t>包装规格＜2kg（L）</w:t>
            </w:r>
          </w:p>
        </w:tc>
        <w:tc>
          <w:tcPr>
            <w:tcW w:w="3186" w:type="dxa"/>
            <w:vAlign w:val="center"/>
          </w:tcPr>
          <w:p w14:paraId="7E80477F">
            <w:pPr>
              <w:snapToGrid w:val="0"/>
              <w:jc w:val="center"/>
              <w:rPr>
                <w:color w:val="000000"/>
                <w:szCs w:val="21"/>
              </w:rPr>
            </w:pPr>
            <w:r>
              <w:rPr>
                <w:color w:val="000000"/>
                <w:szCs w:val="21"/>
              </w:rPr>
              <w:t>不少于2kg（L）且不少于</w:t>
            </w:r>
            <w:r>
              <w:rPr>
                <w:rFonts w:hint="eastAsia"/>
                <w:color w:val="000000"/>
                <w:szCs w:val="21"/>
                <w:lang w:val="en-US" w:eastAsia="zh-CN"/>
              </w:rPr>
              <w:t>3</w:t>
            </w:r>
            <w:r>
              <w:rPr>
                <w:color w:val="000000"/>
                <w:szCs w:val="21"/>
              </w:rPr>
              <w:t>个独立包装</w:t>
            </w:r>
          </w:p>
        </w:tc>
        <w:tc>
          <w:tcPr>
            <w:tcW w:w="1559" w:type="dxa"/>
            <w:vAlign w:val="center"/>
          </w:tcPr>
          <w:p w14:paraId="33CEA6FB">
            <w:pPr>
              <w:snapToGrid w:val="0"/>
              <w:jc w:val="center"/>
              <w:rPr>
                <w:rFonts w:hint="eastAsia" w:eastAsia="宋体"/>
                <w:color w:val="000000"/>
                <w:szCs w:val="21"/>
                <w:lang w:eastAsia="zh-CN"/>
              </w:rPr>
            </w:pPr>
            <w:r>
              <w:rPr>
                <w:rFonts w:hint="eastAsia"/>
                <w:color w:val="000000"/>
                <w:szCs w:val="21"/>
                <w:lang w:val="en-US" w:eastAsia="zh-CN"/>
              </w:rPr>
              <w:t>2</w:t>
            </w:r>
          </w:p>
        </w:tc>
        <w:tc>
          <w:tcPr>
            <w:tcW w:w="1642" w:type="dxa"/>
            <w:vAlign w:val="center"/>
          </w:tcPr>
          <w:p w14:paraId="65150A47">
            <w:pPr>
              <w:snapToGrid w:val="0"/>
              <w:jc w:val="center"/>
              <w:rPr>
                <w:rFonts w:hint="eastAsia" w:eastAsia="宋体"/>
                <w:color w:val="000000"/>
                <w:szCs w:val="21"/>
                <w:lang w:eastAsia="zh-CN"/>
              </w:rPr>
            </w:pPr>
            <w:r>
              <w:rPr>
                <w:rFonts w:hint="eastAsia"/>
                <w:color w:val="000000"/>
                <w:szCs w:val="21"/>
                <w:lang w:val="en-US" w:eastAsia="zh-CN"/>
              </w:rPr>
              <w:t>1</w:t>
            </w:r>
          </w:p>
        </w:tc>
      </w:tr>
      <w:tr w14:paraId="335A1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367ABE08">
            <w:pPr>
              <w:snapToGrid w:val="0"/>
              <w:jc w:val="center"/>
              <w:rPr>
                <w:szCs w:val="21"/>
              </w:rPr>
            </w:pPr>
            <w:r>
              <w:rPr>
                <w:szCs w:val="21"/>
              </w:rPr>
              <w:t>2</w:t>
            </w:r>
          </w:p>
        </w:tc>
        <w:tc>
          <w:tcPr>
            <w:tcW w:w="2059" w:type="dxa"/>
            <w:vAlign w:val="center"/>
          </w:tcPr>
          <w:p w14:paraId="4E0A7C6A">
            <w:pPr>
              <w:snapToGrid w:val="0"/>
              <w:jc w:val="center"/>
              <w:rPr>
                <w:szCs w:val="21"/>
              </w:rPr>
            </w:pPr>
            <w:r>
              <w:rPr>
                <w:szCs w:val="21"/>
              </w:rPr>
              <w:t>包装规格≥2kg（L）且＜10kg（L）的独立包装</w:t>
            </w:r>
          </w:p>
        </w:tc>
        <w:tc>
          <w:tcPr>
            <w:tcW w:w="3186" w:type="dxa"/>
            <w:vAlign w:val="center"/>
          </w:tcPr>
          <w:p w14:paraId="2F0301B0">
            <w:pPr>
              <w:snapToGrid w:val="0"/>
              <w:jc w:val="center"/>
              <w:rPr>
                <w:color w:val="000000"/>
                <w:szCs w:val="21"/>
              </w:rPr>
            </w:pPr>
            <w:r>
              <w:rPr>
                <w:color w:val="000000"/>
                <w:szCs w:val="21"/>
              </w:rPr>
              <w:t>不少于3个独立包装</w:t>
            </w:r>
          </w:p>
        </w:tc>
        <w:tc>
          <w:tcPr>
            <w:tcW w:w="1559" w:type="dxa"/>
            <w:vAlign w:val="center"/>
          </w:tcPr>
          <w:p w14:paraId="0014AE70">
            <w:pPr>
              <w:snapToGrid w:val="0"/>
              <w:jc w:val="center"/>
              <w:rPr>
                <w:color w:val="000000"/>
                <w:szCs w:val="21"/>
              </w:rPr>
            </w:pPr>
            <w:r>
              <w:rPr>
                <w:color w:val="000000"/>
                <w:szCs w:val="21"/>
              </w:rPr>
              <w:t>2</w:t>
            </w:r>
          </w:p>
        </w:tc>
        <w:tc>
          <w:tcPr>
            <w:tcW w:w="1642" w:type="dxa"/>
            <w:vAlign w:val="center"/>
          </w:tcPr>
          <w:p w14:paraId="78D4E67E">
            <w:pPr>
              <w:snapToGrid w:val="0"/>
              <w:jc w:val="center"/>
              <w:rPr>
                <w:color w:val="000000"/>
                <w:szCs w:val="21"/>
              </w:rPr>
            </w:pPr>
            <w:r>
              <w:rPr>
                <w:color w:val="000000"/>
                <w:szCs w:val="21"/>
              </w:rPr>
              <w:t>1</w:t>
            </w:r>
          </w:p>
        </w:tc>
      </w:tr>
      <w:tr w14:paraId="67F71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04422A55">
            <w:pPr>
              <w:snapToGrid w:val="0"/>
              <w:jc w:val="center"/>
              <w:rPr>
                <w:szCs w:val="21"/>
              </w:rPr>
            </w:pPr>
            <w:r>
              <w:rPr>
                <w:szCs w:val="21"/>
              </w:rPr>
              <w:t>3</w:t>
            </w:r>
          </w:p>
        </w:tc>
        <w:tc>
          <w:tcPr>
            <w:tcW w:w="2059" w:type="dxa"/>
            <w:vAlign w:val="center"/>
          </w:tcPr>
          <w:p w14:paraId="0251215A">
            <w:pPr>
              <w:snapToGrid w:val="0"/>
              <w:jc w:val="center"/>
              <w:rPr>
                <w:szCs w:val="21"/>
              </w:rPr>
            </w:pPr>
            <w:r>
              <w:rPr>
                <w:szCs w:val="21"/>
              </w:rPr>
              <w:t>包装规格≥10kg（L）的大包装</w:t>
            </w:r>
          </w:p>
        </w:tc>
        <w:tc>
          <w:tcPr>
            <w:tcW w:w="3186" w:type="dxa"/>
            <w:vAlign w:val="center"/>
          </w:tcPr>
          <w:p w14:paraId="252D1A13">
            <w:pPr>
              <w:snapToGrid w:val="0"/>
              <w:jc w:val="center"/>
              <w:rPr>
                <w:color w:val="000000"/>
                <w:szCs w:val="21"/>
              </w:rPr>
            </w:pPr>
            <w:r>
              <w:rPr>
                <w:color w:val="000000"/>
                <w:szCs w:val="21"/>
              </w:rPr>
              <w:t>3个大包装，从每个大包装产品中分别分装成相应小包装样品，每一个小包装量不少于1kg（L）</w:t>
            </w:r>
          </w:p>
        </w:tc>
        <w:tc>
          <w:tcPr>
            <w:tcW w:w="1559" w:type="dxa"/>
            <w:vAlign w:val="center"/>
          </w:tcPr>
          <w:p w14:paraId="025B6BD5">
            <w:pPr>
              <w:snapToGrid w:val="0"/>
              <w:jc w:val="center"/>
              <w:rPr>
                <w:color w:val="000000"/>
                <w:szCs w:val="21"/>
              </w:rPr>
            </w:pPr>
            <w:r>
              <w:rPr>
                <w:color w:val="000000"/>
                <w:szCs w:val="21"/>
              </w:rPr>
              <w:t>2</w:t>
            </w:r>
          </w:p>
        </w:tc>
        <w:tc>
          <w:tcPr>
            <w:tcW w:w="1642" w:type="dxa"/>
            <w:vAlign w:val="center"/>
          </w:tcPr>
          <w:p w14:paraId="255557BB">
            <w:pPr>
              <w:snapToGrid w:val="0"/>
              <w:jc w:val="center"/>
              <w:rPr>
                <w:color w:val="000000"/>
                <w:szCs w:val="21"/>
              </w:rPr>
            </w:pPr>
            <w:r>
              <w:rPr>
                <w:color w:val="000000"/>
                <w:szCs w:val="21"/>
              </w:rPr>
              <w:t>1</w:t>
            </w:r>
          </w:p>
        </w:tc>
      </w:tr>
    </w:tbl>
    <w:p w14:paraId="3721C724">
      <w:pPr>
        <w:snapToGrid w:val="0"/>
        <w:spacing w:line="440" w:lineRule="exact"/>
        <w:ind w:firstLine="420"/>
        <w:rPr>
          <w:color w:val="000000"/>
          <w:szCs w:val="21"/>
        </w:rPr>
      </w:pPr>
    </w:p>
    <w:p w14:paraId="26319B30">
      <w:pPr>
        <w:snapToGrid w:val="0"/>
        <w:spacing w:line="440" w:lineRule="exact"/>
        <w:rPr>
          <w:rFonts w:eastAsia="黑体"/>
          <w:color w:val="000000"/>
          <w:szCs w:val="21"/>
        </w:rPr>
      </w:pPr>
      <w:r>
        <w:rPr>
          <w:rFonts w:eastAsia="黑体"/>
          <w:color w:val="000000"/>
          <w:szCs w:val="21"/>
        </w:rPr>
        <w:t>2 检验依据</w:t>
      </w:r>
    </w:p>
    <w:p w14:paraId="1B2837F0">
      <w:pPr>
        <w:adjustRightInd w:val="0"/>
        <w:snapToGrid w:val="0"/>
        <w:spacing w:line="360" w:lineRule="auto"/>
        <w:ind w:firstLine="420"/>
        <w:jc w:val="center"/>
        <w:rPr>
          <w:szCs w:val="21"/>
        </w:rPr>
      </w:pPr>
      <w:bookmarkStart w:id="0" w:name="_Hlk40347690"/>
    </w:p>
    <w:bookmarkEnd w:id="0"/>
    <w:p w14:paraId="6DCF9215">
      <w:pPr>
        <w:adjustRightInd w:val="0"/>
        <w:snapToGrid w:val="0"/>
        <w:spacing w:line="360" w:lineRule="auto"/>
        <w:ind w:firstLine="420"/>
        <w:jc w:val="center"/>
        <w:rPr>
          <w:rFonts w:hint="default" w:ascii="Times New Roman" w:hAnsi="Times New Roman" w:cs="Times New Roman"/>
          <w:color w:val="0C0C0C"/>
          <w:szCs w:val="21"/>
        </w:rPr>
      </w:pPr>
      <w:r>
        <w:rPr>
          <w:rFonts w:hint="default" w:ascii="Times New Roman" w:hAnsi="Times New Roman" w:cs="Times New Roman"/>
          <w:color w:val="0C0C0C"/>
          <w:szCs w:val="21"/>
        </w:rPr>
        <w:t>表2 手洗餐具用洗涤剂</w:t>
      </w:r>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3225"/>
        <w:gridCol w:w="5168"/>
      </w:tblGrid>
      <w:tr w14:paraId="70F12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22" w:type="pct"/>
            <w:noWrap w:val="0"/>
            <w:vAlign w:val="center"/>
          </w:tcPr>
          <w:p w14:paraId="2CBEA663">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序号</w:t>
            </w:r>
          </w:p>
        </w:tc>
        <w:tc>
          <w:tcPr>
            <w:tcW w:w="1759" w:type="pct"/>
            <w:noWrap w:val="0"/>
            <w:vAlign w:val="center"/>
          </w:tcPr>
          <w:p w14:paraId="7BD4B72A">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检验项目</w:t>
            </w:r>
          </w:p>
        </w:tc>
        <w:tc>
          <w:tcPr>
            <w:tcW w:w="2818" w:type="pct"/>
            <w:noWrap w:val="0"/>
            <w:vAlign w:val="center"/>
          </w:tcPr>
          <w:p w14:paraId="56A5269A">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检验方法</w:t>
            </w:r>
          </w:p>
        </w:tc>
      </w:tr>
      <w:tr w14:paraId="26F4B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22" w:type="pct"/>
            <w:noWrap w:val="0"/>
            <w:vAlign w:val="center"/>
          </w:tcPr>
          <w:p w14:paraId="10F54317">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1</w:t>
            </w:r>
          </w:p>
        </w:tc>
        <w:tc>
          <w:tcPr>
            <w:tcW w:w="1759" w:type="pct"/>
            <w:noWrap w:val="0"/>
            <w:vAlign w:val="center"/>
          </w:tcPr>
          <w:p w14:paraId="74F99DF2">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总砷（以As计）</w:t>
            </w:r>
          </w:p>
        </w:tc>
        <w:tc>
          <w:tcPr>
            <w:tcW w:w="2818" w:type="pct"/>
            <w:noWrap w:val="0"/>
            <w:vAlign w:val="center"/>
          </w:tcPr>
          <w:p w14:paraId="0926C729">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30797—2014</w:t>
            </w:r>
          </w:p>
        </w:tc>
      </w:tr>
      <w:tr w14:paraId="7AD5F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22" w:type="pct"/>
            <w:noWrap w:val="0"/>
            <w:vAlign w:val="center"/>
          </w:tcPr>
          <w:p w14:paraId="082EA1B9">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2</w:t>
            </w:r>
          </w:p>
        </w:tc>
        <w:tc>
          <w:tcPr>
            <w:tcW w:w="1759" w:type="pct"/>
            <w:noWrap w:val="0"/>
            <w:vAlign w:val="center"/>
          </w:tcPr>
          <w:p w14:paraId="589005F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重金属（以Pb计）</w:t>
            </w:r>
          </w:p>
        </w:tc>
        <w:tc>
          <w:tcPr>
            <w:tcW w:w="2818" w:type="pct"/>
            <w:noWrap w:val="0"/>
            <w:vAlign w:val="center"/>
          </w:tcPr>
          <w:p w14:paraId="428DC60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30799—2014</w:t>
            </w:r>
          </w:p>
        </w:tc>
      </w:tr>
      <w:tr w14:paraId="4C262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22" w:type="pct"/>
            <w:noWrap w:val="0"/>
            <w:vAlign w:val="center"/>
          </w:tcPr>
          <w:p w14:paraId="14BE0F33">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3</w:t>
            </w:r>
          </w:p>
        </w:tc>
        <w:tc>
          <w:tcPr>
            <w:tcW w:w="1759" w:type="pct"/>
            <w:noWrap w:val="0"/>
            <w:vAlign w:val="center"/>
          </w:tcPr>
          <w:p w14:paraId="67665631">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甲醇</w:t>
            </w:r>
          </w:p>
        </w:tc>
        <w:tc>
          <w:tcPr>
            <w:tcW w:w="2818" w:type="pct"/>
            <w:noWrap w:val="0"/>
            <w:vAlign w:val="center"/>
          </w:tcPr>
          <w:p w14:paraId="55F525B8">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30795—2014</w:t>
            </w:r>
          </w:p>
        </w:tc>
      </w:tr>
      <w:tr w14:paraId="2CB68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22" w:type="pct"/>
            <w:noWrap w:val="0"/>
            <w:vAlign w:val="center"/>
          </w:tcPr>
          <w:p w14:paraId="788DCB94">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4</w:t>
            </w:r>
          </w:p>
        </w:tc>
        <w:tc>
          <w:tcPr>
            <w:tcW w:w="1759" w:type="pct"/>
            <w:noWrap w:val="0"/>
            <w:vAlign w:val="center"/>
          </w:tcPr>
          <w:p w14:paraId="4CEFEAA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甲醛</w:t>
            </w:r>
          </w:p>
        </w:tc>
        <w:tc>
          <w:tcPr>
            <w:tcW w:w="2818" w:type="pct"/>
            <w:noWrap w:val="0"/>
            <w:vAlign w:val="center"/>
          </w:tcPr>
          <w:p w14:paraId="0FF7BBF9">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30796—2014</w:t>
            </w:r>
          </w:p>
        </w:tc>
      </w:tr>
      <w:tr w14:paraId="56AE6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22" w:type="pct"/>
            <w:noWrap w:val="0"/>
            <w:vAlign w:val="center"/>
          </w:tcPr>
          <w:p w14:paraId="454DADFF">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5</w:t>
            </w:r>
          </w:p>
        </w:tc>
        <w:tc>
          <w:tcPr>
            <w:tcW w:w="1759" w:type="pct"/>
            <w:noWrap w:val="0"/>
            <w:vAlign w:val="center"/>
          </w:tcPr>
          <w:p w14:paraId="0B75D8C9">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1,4-二噁烷</w:t>
            </w:r>
          </w:p>
        </w:tc>
        <w:tc>
          <w:tcPr>
            <w:tcW w:w="2818" w:type="pct"/>
            <w:noWrap w:val="0"/>
            <w:vAlign w:val="center"/>
          </w:tcPr>
          <w:p w14:paraId="2B792128">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26388—2011气相色谱—质谱（GC—MSD）法</w:t>
            </w:r>
          </w:p>
        </w:tc>
      </w:tr>
      <w:tr w14:paraId="1332C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22" w:type="pct"/>
            <w:noWrap w:val="0"/>
            <w:vAlign w:val="center"/>
          </w:tcPr>
          <w:p w14:paraId="0DA7D51D">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6</w:t>
            </w:r>
          </w:p>
        </w:tc>
        <w:tc>
          <w:tcPr>
            <w:tcW w:w="1759" w:type="pct"/>
            <w:noWrap w:val="0"/>
            <w:vAlign w:val="center"/>
          </w:tcPr>
          <w:p w14:paraId="30DAB2B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菌落总数</w:t>
            </w:r>
          </w:p>
        </w:tc>
        <w:tc>
          <w:tcPr>
            <w:tcW w:w="2818" w:type="pct"/>
            <w:noWrap w:val="0"/>
            <w:vAlign w:val="center"/>
          </w:tcPr>
          <w:p w14:paraId="5CB227C0">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3C1EB7F7">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4789.2—2022</w:t>
            </w:r>
          </w:p>
        </w:tc>
      </w:tr>
      <w:tr w14:paraId="467F5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22" w:type="pct"/>
            <w:noWrap w:val="0"/>
            <w:vAlign w:val="center"/>
          </w:tcPr>
          <w:p w14:paraId="41625B02">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7</w:t>
            </w:r>
          </w:p>
        </w:tc>
        <w:tc>
          <w:tcPr>
            <w:tcW w:w="1759" w:type="pct"/>
            <w:noWrap w:val="0"/>
            <w:vAlign w:val="center"/>
          </w:tcPr>
          <w:p w14:paraId="5F2DB302">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大肠菌群</w:t>
            </w:r>
          </w:p>
        </w:tc>
        <w:tc>
          <w:tcPr>
            <w:tcW w:w="2818" w:type="pct"/>
            <w:noWrap w:val="0"/>
            <w:vAlign w:val="center"/>
          </w:tcPr>
          <w:p w14:paraId="608F514B">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19084C2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4789.3—2016大肠菌群平板计数法</w:t>
            </w:r>
          </w:p>
        </w:tc>
      </w:tr>
      <w:tr w14:paraId="351A5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22" w:type="pct"/>
            <w:noWrap w:val="0"/>
            <w:vAlign w:val="center"/>
          </w:tcPr>
          <w:p w14:paraId="36913DF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8</w:t>
            </w:r>
          </w:p>
        </w:tc>
        <w:tc>
          <w:tcPr>
            <w:tcW w:w="1759" w:type="pct"/>
            <w:noWrap w:val="0"/>
            <w:vAlign w:val="center"/>
          </w:tcPr>
          <w:p w14:paraId="0163CA40">
            <w:pPr>
              <w:adjustRightInd w:val="0"/>
              <w:snapToGrid w:val="0"/>
              <w:jc w:val="center"/>
              <w:rPr>
                <w:rFonts w:hint="default" w:ascii="Times New Roman" w:hAnsi="Times New Roman" w:cs="Times New Roman"/>
                <w:color w:val="0C0C0C"/>
                <w:szCs w:val="21"/>
                <w:vertAlign w:val="superscript"/>
              </w:rPr>
            </w:pPr>
            <w:r>
              <w:rPr>
                <w:rFonts w:hint="default" w:ascii="Times New Roman" w:hAnsi="Times New Roman" w:cs="Times New Roman"/>
                <w:color w:val="0C0C0C"/>
                <w:szCs w:val="21"/>
              </w:rPr>
              <w:t>总有效物含量</w:t>
            </w:r>
            <w:r>
              <w:rPr>
                <w:rFonts w:hint="default" w:ascii="Times New Roman" w:hAnsi="Times New Roman" w:cs="Times New Roman"/>
                <w:color w:val="0C0C0C"/>
                <w:szCs w:val="21"/>
                <w:vertAlign w:val="superscript"/>
              </w:rPr>
              <w:t>a</w:t>
            </w:r>
          </w:p>
        </w:tc>
        <w:tc>
          <w:tcPr>
            <w:tcW w:w="2818" w:type="pct"/>
            <w:noWrap w:val="0"/>
            <w:vAlign w:val="center"/>
          </w:tcPr>
          <w:p w14:paraId="7C085E8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9985—2000</w:t>
            </w:r>
          </w:p>
          <w:p w14:paraId="7D1E9D8B">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 xml:space="preserve">GB/T 13173—2021 </w:t>
            </w:r>
          </w:p>
        </w:tc>
      </w:tr>
      <w:tr w14:paraId="5B009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22" w:type="pct"/>
            <w:noWrap w:val="0"/>
            <w:vAlign w:val="center"/>
          </w:tcPr>
          <w:p w14:paraId="2D1D7799">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9</w:t>
            </w:r>
          </w:p>
        </w:tc>
        <w:tc>
          <w:tcPr>
            <w:tcW w:w="1759" w:type="pct"/>
            <w:noWrap w:val="0"/>
            <w:vAlign w:val="center"/>
          </w:tcPr>
          <w:p w14:paraId="7F90998C">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pH</w:t>
            </w:r>
          </w:p>
        </w:tc>
        <w:tc>
          <w:tcPr>
            <w:tcW w:w="2818" w:type="pct"/>
            <w:noWrap w:val="0"/>
            <w:vAlign w:val="center"/>
          </w:tcPr>
          <w:p w14:paraId="4E125426">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6368—2008</w:t>
            </w:r>
          </w:p>
        </w:tc>
      </w:tr>
      <w:tr w14:paraId="1C9B7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00" w:type="pct"/>
            <w:gridSpan w:val="3"/>
            <w:noWrap w:val="0"/>
            <w:vAlign w:val="center"/>
          </w:tcPr>
          <w:p w14:paraId="08D72760">
            <w:pPr>
              <w:adjustRightInd w:val="0"/>
              <w:snapToGrid w:val="0"/>
              <w:jc w:val="left"/>
              <w:rPr>
                <w:rFonts w:hint="default" w:ascii="Times New Roman" w:hAnsi="Times New Roman" w:cs="Times New Roman"/>
                <w:color w:val="0C0C0C"/>
                <w:szCs w:val="21"/>
              </w:rPr>
            </w:pPr>
            <w:r>
              <w:rPr>
                <w:rFonts w:hint="default" w:ascii="Times New Roman" w:hAnsi="Times New Roman" w:cs="Times New Roman"/>
                <w:color w:val="0C0C0C"/>
                <w:szCs w:val="21"/>
              </w:rPr>
              <w:t>注：a执行标准为GB/T 9985—2022的样品依据GB/T 13173—2021检验方法开展检验。</w:t>
            </w:r>
          </w:p>
        </w:tc>
      </w:tr>
    </w:tbl>
    <w:p w14:paraId="64AD7244">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C0C0C"/>
          <w:szCs w:val="21"/>
        </w:rPr>
      </w:pPr>
    </w:p>
    <w:p w14:paraId="5FDC796A">
      <w:pPr>
        <w:keepNext w:val="0"/>
        <w:keepLines w:val="0"/>
        <w:pageBreakBefore w:val="0"/>
        <w:widowControl w:val="0"/>
        <w:kinsoku/>
        <w:wordWrap/>
        <w:overflowPunct/>
        <w:topLinePunct w:val="0"/>
        <w:autoSpaceDE/>
        <w:autoSpaceDN/>
        <w:bidi w:val="0"/>
        <w:adjustRightInd w:val="0"/>
        <w:snapToGrid w:val="0"/>
        <w:spacing w:line="440" w:lineRule="exact"/>
        <w:ind w:firstLine="420"/>
        <w:jc w:val="center"/>
        <w:textAlignment w:val="auto"/>
        <w:rPr>
          <w:rFonts w:hint="default" w:ascii="Times New Roman" w:hAnsi="Times New Roman" w:cs="Times New Roman"/>
          <w:color w:val="0C0C0C"/>
          <w:szCs w:val="21"/>
        </w:rPr>
      </w:pPr>
    </w:p>
    <w:p w14:paraId="3DEA77C9">
      <w:pPr>
        <w:keepNext w:val="0"/>
        <w:keepLines w:val="0"/>
        <w:pageBreakBefore w:val="0"/>
        <w:widowControl w:val="0"/>
        <w:kinsoku/>
        <w:wordWrap/>
        <w:overflowPunct/>
        <w:topLinePunct w:val="0"/>
        <w:autoSpaceDE/>
        <w:autoSpaceDN/>
        <w:bidi w:val="0"/>
        <w:adjustRightInd w:val="0"/>
        <w:snapToGrid w:val="0"/>
        <w:spacing w:line="440" w:lineRule="exact"/>
        <w:ind w:firstLine="420"/>
        <w:jc w:val="center"/>
        <w:textAlignment w:val="auto"/>
        <w:rPr>
          <w:rFonts w:hint="default" w:ascii="Times New Roman" w:hAnsi="Times New Roman" w:cs="Times New Roman"/>
          <w:color w:val="0C0C0C"/>
          <w:szCs w:val="21"/>
        </w:rPr>
      </w:pPr>
      <w:r>
        <w:rPr>
          <w:rFonts w:hint="default" w:ascii="Times New Roman" w:hAnsi="Times New Roman" w:cs="Times New Roman"/>
          <w:color w:val="0C0C0C"/>
          <w:szCs w:val="21"/>
        </w:rPr>
        <w:t>表3 果蔬清洗剂</w:t>
      </w:r>
    </w:p>
    <w:tbl>
      <w:tblPr>
        <w:tblStyle w:val="6"/>
        <w:tblW w:w="50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171"/>
        <w:gridCol w:w="5210"/>
      </w:tblGrid>
      <w:tr w14:paraId="65AF8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blHeader/>
          <w:jc w:val="center"/>
        </w:trPr>
        <w:tc>
          <w:tcPr>
            <w:tcW w:w="444" w:type="pct"/>
            <w:noWrap w:val="0"/>
            <w:vAlign w:val="center"/>
          </w:tcPr>
          <w:p w14:paraId="4F247905">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序号</w:t>
            </w:r>
          </w:p>
        </w:tc>
        <w:tc>
          <w:tcPr>
            <w:tcW w:w="1723" w:type="pct"/>
            <w:noWrap w:val="0"/>
            <w:vAlign w:val="center"/>
          </w:tcPr>
          <w:p w14:paraId="5706F416">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检验项目</w:t>
            </w:r>
          </w:p>
        </w:tc>
        <w:tc>
          <w:tcPr>
            <w:tcW w:w="2831" w:type="pct"/>
            <w:noWrap w:val="0"/>
            <w:vAlign w:val="center"/>
          </w:tcPr>
          <w:p w14:paraId="3C3920AB">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检验方法</w:t>
            </w:r>
          </w:p>
        </w:tc>
      </w:tr>
      <w:tr w14:paraId="4DA32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444" w:type="pct"/>
            <w:noWrap w:val="0"/>
            <w:vAlign w:val="center"/>
          </w:tcPr>
          <w:p w14:paraId="4F06EAE1">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1</w:t>
            </w:r>
          </w:p>
        </w:tc>
        <w:tc>
          <w:tcPr>
            <w:tcW w:w="1723" w:type="pct"/>
            <w:noWrap w:val="0"/>
            <w:vAlign w:val="center"/>
          </w:tcPr>
          <w:p w14:paraId="1874C2DD">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总砷（以As计）</w:t>
            </w:r>
          </w:p>
        </w:tc>
        <w:tc>
          <w:tcPr>
            <w:tcW w:w="2831" w:type="pct"/>
            <w:noWrap w:val="0"/>
            <w:vAlign w:val="center"/>
          </w:tcPr>
          <w:p w14:paraId="3A3CC69B">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30797—2014</w:t>
            </w:r>
          </w:p>
        </w:tc>
      </w:tr>
      <w:tr w14:paraId="6A117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444" w:type="pct"/>
            <w:noWrap w:val="0"/>
            <w:vAlign w:val="center"/>
          </w:tcPr>
          <w:p w14:paraId="28817087">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2</w:t>
            </w:r>
          </w:p>
        </w:tc>
        <w:tc>
          <w:tcPr>
            <w:tcW w:w="1723" w:type="pct"/>
            <w:noWrap w:val="0"/>
            <w:vAlign w:val="center"/>
          </w:tcPr>
          <w:p w14:paraId="37EFE6A2">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重金属（以Pb计）</w:t>
            </w:r>
          </w:p>
        </w:tc>
        <w:tc>
          <w:tcPr>
            <w:tcW w:w="2831" w:type="pct"/>
            <w:noWrap w:val="0"/>
            <w:vAlign w:val="center"/>
          </w:tcPr>
          <w:p w14:paraId="281D094D">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30799—2014</w:t>
            </w:r>
          </w:p>
        </w:tc>
      </w:tr>
      <w:tr w14:paraId="01324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444" w:type="pct"/>
            <w:noWrap w:val="0"/>
            <w:vAlign w:val="center"/>
          </w:tcPr>
          <w:p w14:paraId="50951005">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3</w:t>
            </w:r>
          </w:p>
        </w:tc>
        <w:tc>
          <w:tcPr>
            <w:tcW w:w="1723" w:type="pct"/>
            <w:noWrap w:val="0"/>
            <w:vAlign w:val="center"/>
          </w:tcPr>
          <w:p w14:paraId="7CFF140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甲醇</w:t>
            </w:r>
          </w:p>
        </w:tc>
        <w:tc>
          <w:tcPr>
            <w:tcW w:w="2831" w:type="pct"/>
            <w:noWrap w:val="0"/>
            <w:vAlign w:val="center"/>
          </w:tcPr>
          <w:p w14:paraId="2030C6AF">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30795—2014</w:t>
            </w:r>
          </w:p>
        </w:tc>
      </w:tr>
      <w:tr w14:paraId="30C5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444" w:type="pct"/>
            <w:noWrap w:val="0"/>
            <w:vAlign w:val="center"/>
          </w:tcPr>
          <w:p w14:paraId="6383713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4</w:t>
            </w:r>
          </w:p>
        </w:tc>
        <w:tc>
          <w:tcPr>
            <w:tcW w:w="1723" w:type="pct"/>
            <w:noWrap w:val="0"/>
            <w:vAlign w:val="center"/>
          </w:tcPr>
          <w:p w14:paraId="4828D6D6">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甲醛</w:t>
            </w:r>
          </w:p>
        </w:tc>
        <w:tc>
          <w:tcPr>
            <w:tcW w:w="2831" w:type="pct"/>
            <w:noWrap w:val="0"/>
            <w:vAlign w:val="center"/>
          </w:tcPr>
          <w:p w14:paraId="5F92CA49">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30796—2014</w:t>
            </w:r>
          </w:p>
        </w:tc>
      </w:tr>
      <w:tr w14:paraId="67EFC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44" w:type="pct"/>
            <w:noWrap w:val="0"/>
            <w:vAlign w:val="center"/>
          </w:tcPr>
          <w:p w14:paraId="5ED78FA6">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5</w:t>
            </w:r>
          </w:p>
        </w:tc>
        <w:tc>
          <w:tcPr>
            <w:tcW w:w="1723" w:type="pct"/>
            <w:noWrap w:val="0"/>
            <w:vAlign w:val="center"/>
          </w:tcPr>
          <w:p w14:paraId="7B6F98F3">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1,4-二噁烷</w:t>
            </w:r>
          </w:p>
        </w:tc>
        <w:tc>
          <w:tcPr>
            <w:tcW w:w="2831" w:type="pct"/>
            <w:noWrap w:val="0"/>
            <w:vAlign w:val="center"/>
          </w:tcPr>
          <w:p w14:paraId="10A7A5F7">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26388—2011气相色谱—质谱（GC—MSD）法</w:t>
            </w:r>
          </w:p>
        </w:tc>
      </w:tr>
      <w:tr w14:paraId="26EB9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44" w:type="pct"/>
            <w:noWrap w:val="0"/>
            <w:vAlign w:val="center"/>
          </w:tcPr>
          <w:p w14:paraId="61C4C109">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6</w:t>
            </w:r>
          </w:p>
        </w:tc>
        <w:tc>
          <w:tcPr>
            <w:tcW w:w="1723" w:type="pct"/>
            <w:noWrap w:val="0"/>
            <w:vAlign w:val="center"/>
          </w:tcPr>
          <w:p w14:paraId="5527F8E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菌落总数</w:t>
            </w:r>
          </w:p>
        </w:tc>
        <w:tc>
          <w:tcPr>
            <w:tcW w:w="2831" w:type="pct"/>
            <w:noWrap w:val="0"/>
            <w:vAlign w:val="center"/>
          </w:tcPr>
          <w:p w14:paraId="238BFA97">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68C58A5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4789.2—2022</w:t>
            </w:r>
          </w:p>
        </w:tc>
      </w:tr>
      <w:tr w14:paraId="09D7D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444" w:type="pct"/>
            <w:noWrap w:val="0"/>
            <w:vAlign w:val="center"/>
          </w:tcPr>
          <w:p w14:paraId="2E2E8858">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7</w:t>
            </w:r>
          </w:p>
        </w:tc>
        <w:tc>
          <w:tcPr>
            <w:tcW w:w="1723" w:type="pct"/>
            <w:noWrap w:val="0"/>
            <w:vAlign w:val="center"/>
          </w:tcPr>
          <w:p w14:paraId="048EE9BF">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大肠菌群</w:t>
            </w:r>
          </w:p>
        </w:tc>
        <w:tc>
          <w:tcPr>
            <w:tcW w:w="2831" w:type="pct"/>
            <w:noWrap w:val="0"/>
            <w:vAlign w:val="center"/>
          </w:tcPr>
          <w:p w14:paraId="4C41ABF5">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40F93DBD">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4789.3—2016大肠菌群平板计数法</w:t>
            </w:r>
          </w:p>
        </w:tc>
      </w:tr>
      <w:tr w14:paraId="15BEF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444" w:type="pct"/>
            <w:noWrap w:val="0"/>
            <w:vAlign w:val="center"/>
          </w:tcPr>
          <w:p w14:paraId="78D9DAD8">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8</w:t>
            </w:r>
          </w:p>
        </w:tc>
        <w:tc>
          <w:tcPr>
            <w:tcW w:w="1723" w:type="pct"/>
            <w:noWrap w:val="0"/>
            <w:vAlign w:val="center"/>
          </w:tcPr>
          <w:p w14:paraId="19EE3329">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总有效物含量</w:t>
            </w:r>
          </w:p>
        </w:tc>
        <w:tc>
          <w:tcPr>
            <w:tcW w:w="2831" w:type="pct"/>
            <w:noWrap w:val="0"/>
            <w:vAlign w:val="center"/>
          </w:tcPr>
          <w:p w14:paraId="5C3FA165">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13173—2021</w:t>
            </w:r>
          </w:p>
        </w:tc>
      </w:tr>
      <w:tr w14:paraId="431C8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444" w:type="pct"/>
            <w:noWrap w:val="0"/>
            <w:vAlign w:val="center"/>
          </w:tcPr>
          <w:p w14:paraId="44DEEA36">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9</w:t>
            </w:r>
          </w:p>
        </w:tc>
        <w:tc>
          <w:tcPr>
            <w:tcW w:w="1723" w:type="pct"/>
            <w:noWrap w:val="0"/>
            <w:vAlign w:val="center"/>
          </w:tcPr>
          <w:p w14:paraId="04E664C5">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总五氧化二磷含量</w:t>
            </w:r>
          </w:p>
        </w:tc>
        <w:tc>
          <w:tcPr>
            <w:tcW w:w="2831" w:type="pct"/>
            <w:noWrap w:val="0"/>
            <w:vAlign w:val="center"/>
          </w:tcPr>
          <w:p w14:paraId="5C177040">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 xml:space="preserve">GB/T 13173—2021 </w:t>
            </w:r>
          </w:p>
        </w:tc>
      </w:tr>
      <w:tr w14:paraId="0EFA7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44" w:type="pct"/>
            <w:noWrap w:val="0"/>
            <w:vAlign w:val="center"/>
          </w:tcPr>
          <w:p w14:paraId="3519F3FB">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10</w:t>
            </w:r>
          </w:p>
        </w:tc>
        <w:tc>
          <w:tcPr>
            <w:tcW w:w="1723" w:type="pct"/>
            <w:noWrap w:val="0"/>
            <w:vAlign w:val="center"/>
          </w:tcPr>
          <w:p w14:paraId="6DB72F73">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农药去除效果（P值）</w:t>
            </w:r>
          </w:p>
        </w:tc>
        <w:tc>
          <w:tcPr>
            <w:tcW w:w="2831" w:type="pct"/>
            <w:noWrap w:val="0"/>
            <w:vAlign w:val="center"/>
          </w:tcPr>
          <w:p w14:paraId="233CDACB">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 xml:space="preserve">GB/T 24691—2022 </w:t>
            </w:r>
          </w:p>
        </w:tc>
      </w:tr>
      <w:tr w14:paraId="5EDC1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444" w:type="pct"/>
            <w:noWrap w:val="0"/>
            <w:vAlign w:val="center"/>
          </w:tcPr>
          <w:p w14:paraId="27160074">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11</w:t>
            </w:r>
          </w:p>
        </w:tc>
        <w:tc>
          <w:tcPr>
            <w:tcW w:w="1723" w:type="pct"/>
            <w:noWrap w:val="0"/>
            <w:vAlign w:val="center"/>
          </w:tcPr>
          <w:p w14:paraId="1FA6AA99">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pH</w:t>
            </w:r>
          </w:p>
        </w:tc>
        <w:tc>
          <w:tcPr>
            <w:tcW w:w="2831" w:type="pct"/>
            <w:noWrap w:val="0"/>
            <w:vAlign w:val="center"/>
          </w:tcPr>
          <w:p w14:paraId="1EB86F0B">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6368—2008</w:t>
            </w:r>
          </w:p>
        </w:tc>
      </w:tr>
    </w:tbl>
    <w:p w14:paraId="5CD14F11">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C0C0C"/>
          <w:szCs w:val="21"/>
        </w:rPr>
      </w:pPr>
    </w:p>
    <w:p w14:paraId="20B02C30">
      <w:pPr>
        <w:keepNext w:val="0"/>
        <w:keepLines w:val="0"/>
        <w:pageBreakBefore w:val="0"/>
        <w:widowControl w:val="0"/>
        <w:kinsoku/>
        <w:wordWrap/>
        <w:overflowPunct/>
        <w:topLinePunct w:val="0"/>
        <w:autoSpaceDE/>
        <w:autoSpaceDN/>
        <w:bidi w:val="0"/>
        <w:adjustRightInd w:val="0"/>
        <w:snapToGrid w:val="0"/>
        <w:spacing w:line="440" w:lineRule="exact"/>
        <w:ind w:firstLine="420"/>
        <w:jc w:val="center"/>
        <w:textAlignment w:val="auto"/>
        <w:rPr>
          <w:rFonts w:hint="default" w:ascii="Times New Roman" w:hAnsi="Times New Roman" w:cs="Times New Roman"/>
          <w:color w:val="0C0C0C"/>
          <w:szCs w:val="21"/>
        </w:rPr>
      </w:pPr>
      <w:r>
        <w:rPr>
          <w:rFonts w:hint="default" w:ascii="Times New Roman" w:hAnsi="Times New Roman" w:cs="Times New Roman"/>
          <w:color w:val="0C0C0C"/>
          <w:szCs w:val="21"/>
        </w:rPr>
        <w:t xml:space="preserve">表4 </w:t>
      </w:r>
      <w:bookmarkStart w:id="1" w:name="_Hlk28345452"/>
      <w:r>
        <w:rPr>
          <w:rFonts w:hint="default" w:ascii="Times New Roman" w:hAnsi="Times New Roman" w:cs="Times New Roman"/>
          <w:color w:val="0C0C0C"/>
          <w:szCs w:val="21"/>
        </w:rPr>
        <w:t>饮料用瓶清洗剂</w:t>
      </w:r>
      <w:bookmarkEnd w:id="1"/>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2855"/>
        <w:gridCol w:w="5517"/>
      </w:tblGrid>
      <w:tr w14:paraId="3DCA6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34" w:type="pct"/>
            <w:noWrap w:val="0"/>
            <w:vAlign w:val="center"/>
          </w:tcPr>
          <w:p w14:paraId="7AA388F4">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序号</w:t>
            </w:r>
          </w:p>
        </w:tc>
        <w:tc>
          <w:tcPr>
            <w:tcW w:w="1557" w:type="pct"/>
            <w:noWrap w:val="0"/>
            <w:vAlign w:val="center"/>
          </w:tcPr>
          <w:p w14:paraId="607A3111">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检验项目</w:t>
            </w:r>
          </w:p>
        </w:tc>
        <w:tc>
          <w:tcPr>
            <w:tcW w:w="3007" w:type="pct"/>
            <w:noWrap w:val="0"/>
            <w:vAlign w:val="center"/>
          </w:tcPr>
          <w:p w14:paraId="5B8595BE">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检验方法</w:t>
            </w:r>
          </w:p>
        </w:tc>
      </w:tr>
      <w:tr w14:paraId="5CAED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57E23C72">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1</w:t>
            </w:r>
          </w:p>
        </w:tc>
        <w:tc>
          <w:tcPr>
            <w:tcW w:w="1557" w:type="pct"/>
            <w:noWrap w:val="0"/>
            <w:vAlign w:val="center"/>
          </w:tcPr>
          <w:p w14:paraId="00A7EA7E">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总砷（以As计）</w:t>
            </w:r>
          </w:p>
        </w:tc>
        <w:tc>
          <w:tcPr>
            <w:tcW w:w="3007" w:type="pct"/>
            <w:noWrap w:val="0"/>
            <w:vAlign w:val="center"/>
          </w:tcPr>
          <w:p w14:paraId="6FFEA94D">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30797—2014</w:t>
            </w:r>
          </w:p>
        </w:tc>
      </w:tr>
      <w:tr w14:paraId="6E6E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0B137836">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2</w:t>
            </w:r>
          </w:p>
        </w:tc>
        <w:tc>
          <w:tcPr>
            <w:tcW w:w="1557" w:type="pct"/>
            <w:noWrap w:val="0"/>
            <w:vAlign w:val="center"/>
          </w:tcPr>
          <w:p w14:paraId="00B2F785">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重金属（以Pb计）</w:t>
            </w:r>
          </w:p>
        </w:tc>
        <w:tc>
          <w:tcPr>
            <w:tcW w:w="3007" w:type="pct"/>
            <w:noWrap w:val="0"/>
            <w:vAlign w:val="center"/>
          </w:tcPr>
          <w:p w14:paraId="2ACD8853">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30799—2014</w:t>
            </w:r>
          </w:p>
        </w:tc>
      </w:tr>
      <w:tr w14:paraId="444A0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0C079AA6">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3</w:t>
            </w:r>
          </w:p>
        </w:tc>
        <w:tc>
          <w:tcPr>
            <w:tcW w:w="1557" w:type="pct"/>
            <w:noWrap w:val="0"/>
            <w:vAlign w:val="center"/>
          </w:tcPr>
          <w:p w14:paraId="3AA22DB1">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甲醇</w:t>
            </w:r>
          </w:p>
        </w:tc>
        <w:tc>
          <w:tcPr>
            <w:tcW w:w="3007" w:type="pct"/>
            <w:noWrap w:val="0"/>
            <w:vAlign w:val="center"/>
          </w:tcPr>
          <w:p w14:paraId="661F7AA4">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30795—2014</w:t>
            </w:r>
          </w:p>
        </w:tc>
      </w:tr>
      <w:tr w14:paraId="69509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7675D269">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4</w:t>
            </w:r>
          </w:p>
        </w:tc>
        <w:tc>
          <w:tcPr>
            <w:tcW w:w="1557" w:type="pct"/>
            <w:noWrap w:val="0"/>
            <w:vAlign w:val="center"/>
          </w:tcPr>
          <w:p w14:paraId="50BE8CCB">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甲醛</w:t>
            </w:r>
          </w:p>
        </w:tc>
        <w:tc>
          <w:tcPr>
            <w:tcW w:w="3007" w:type="pct"/>
            <w:noWrap w:val="0"/>
            <w:vAlign w:val="center"/>
          </w:tcPr>
          <w:p w14:paraId="5107E1C6">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30796—2014</w:t>
            </w:r>
          </w:p>
        </w:tc>
      </w:tr>
      <w:tr w14:paraId="5F779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175D4C3F">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5</w:t>
            </w:r>
          </w:p>
        </w:tc>
        <w:tc>
          <w:tcPr>
            <w:tcW w:w="1557" w:type="pct"/>
            <w:noWrap w:val="0"/>
            <w:vAlign w:val="center"/>
          </w:tcPr>
          <w:p w14:paraId="186327DF">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1,4-二噁烷</w:t>
            </w:r>
          </w:p>
        </w:tc>
        <w:tc>
          <w:tcPr>
            <w:tcW w:w="3007" w:type="pct"/>
            <w:noWrap w:val="0"/>
            <w:vAlign w:val="center"/>
          </w:tcPr>
          <w:p w14:paraId="4226BC64">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26388—2011气相色谱—质谱（GC—MSD）法</w:t>
            </w:r>
          </w:p>
        </w:tc>
      </w:tr>
      <w:tr w14:paraId="1387B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3F49B6B3">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6</w:t>
            </w:r>
          </w:p>
        </w:tc>
        <w:tc>
          <w:tcPr>
            <w:tcW w:w="1557" w:type="pct"/>
            <w:noWrap w:val="0"/>
            <w:vAlign w:val="center"/>
          </w:tcPr>
          <w:p w14:paraId="79773A1C">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菌落总数</w:t>
            </w:r>
          </w:p>
        </w:tc>
        <w:tc>
          <w:tcPr>
            <w:tcW w:w="3007" w:type="pct"/>
            <w:noWrap w:val="0"/>
            <w:vAlign w:val="center"/>
          </w:tcPr>
          <w:p w14:paraId="6BBE4F6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63CF20E2">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4789.2—2022</w:t>
            </w:r>
          </w:p>
        </w:tc>
      </w:tr>
      <w:tr w14:paraId="41428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167AE72B">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7</w:t>
            </w:r>
          </w:p>
        </w:tc>
        <w:tc>
          <w:tcPr>
            <w:tcW w:w="1557" w:type="pct"/>
            <w:noWrap w:val="0"/>
            <w:vAlign w:val="center"/>
          </w:tcPr>
          <w:p w14:paraId="3B0C4D30">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大肠菌群</w:t>
            </w:r>
          </w:p>
        </w:tc>
        <w:tc>
          <w:tcPr>
            <w:tcW w:w="3007" w:type="pct"/>
            <w:noWrap w:val="0"/>
            <w:vAlign w:val="center"/>
          </w:tcPr>
          <w:p w14:paraId="57AE5B14">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358B54E6">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4789.3—2016大肠菌群平板计数法</w:t>
            </w:r>
          </w:p>
        </w:tc>
      </w:tr>
      <w:tr w14:paraId="09E59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668C81F8">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8</w:t>
            </w:r>
          </w:p>
        </w:tc>
        <w:tc>
          <w:tcPr>
            <w:tcW w:w="1557" w:type="pct"/>
            <w:noWrap w:val="0"/>
            <w:vAlign w:val="center"/>
          </w:tcPr>
          <w:p w14:paraId="1919CD85">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总活性物含量</w:t>
            </w:r>
          </w:p>
        </w:tc>
        <w:tc>
          <w:tcPr>
            <w:tcW w:w="3007" w:type="pct"/>
            <w:noWrap w:val="0"/>
            <w:vAlign w:val="center"/>
          </w:tcPr>
          <w:p w14:paraId="442C9AC3">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 xml:space="preserve">GB/T 13173—2021 </w:t>
            </w:r>
          </w:p>
        </w:tc>
      </w:tr>
      <w:tr w14:paraId="115C1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654E29A3">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9</w:t>
            </w:r>
          </w:p>
        </w:tc>
        <w:tc>
          <w:tcPr>
            <w:tcW w:w="1557" w:type="pct"/>
            <w:noWrap w:val="0"/>
            <w:vAlign w:val="center"/>
          </w:tcPr>
          <w:p w14:paraId="0AD63CD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总五氧化二磷含量（以P</w:t>
            </w:r>
            <w:r>
              <w:rPr>
                <w:rFonts w:hint="default" w:ascii="Times New Roman" w:hAnsi="Times New Roman" w:cs="Times New Roman"/>
                <w:color w:val="0C0C0C"/>
                <w:szCs w:val="21"/>
                <w:vertAlign w:val="subscript"/>
              </w:rPr>
              <w:t>2</w:t>
            </w:r>
            <w:r>
              <w:rPr>
                <w:rFonts w:hint="default" w:ascii="Times New Roman" w:hAnsi="Times New Roman" w:cs="Times New Roman"/>
                <w:color w:val="0C0C0C"/>
                <w:szCs w:val="21"/>
              </w:rPr>
              <w:t>O</w:t>
            </w:r>
            <w:r>
              <w:rPr>
                <w:rFonts w:hint="default" w:ascii="Times New Roman" w:hAnsi="Times New Roman" w:cs="Times New Roman"/>
                <w:color w:val="0C0C0C"/>
                <w:szCs w:val="21"/>
                <w:vertAlign w:val="subscript"/>
              </w:rPr>
              <w:t>5</w:t>
            </w:r>
            <w:r>
              <w:rPr>
                <w:rFonts w:hint="default" w:ascii="Times New Roman" w:hAnsi="Times New Roman" w:cs="Times New Roman"/>
                <w:color w:val="0C0C0C"/>
                <w:szCs w:val="21"/>
              </w:rPr>
              <w:t>计）</w:t>
            </w:r>
            <w:r>
              <w:rPr>
                <w:rFonts w:hint="default" w:ascii="Times New Roman" w:hAnsi="Times New Roman" w:cs="Times New Roman"/>
                <w:color w:val="0C0C0C"/>
                <w:szCs w:val="21"/>
                <w:vertAlign w:val="superscript"/>
              </w:rPr>
              <w:t>a</w:t>
            </w:r>
          </w:p>
        </w:tc>
        <w:tc>
          <w:tcPr>
            <w:tcW w:w="3007" w:type="pct"/>
            <w:noWrap w:val="0"/>
            <w:vAlign w:val="center"/>
          </w:tcPr>
          <w:p w14:paraId="6F1AEE5B">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 xml:space="preserve">GB/T 13173—2021 </w:t>
            </w:r>
          </w:p>
        </w:tc>
      </w:tr>
      <w:tr w14:paraId="0DBA6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00" w:type="pct"/>
            <w:gridSpan w:val="3"/>
            <w:noWrap w:val="0"/>
            <w:vAlign w:val="center"/>
          </w:tcPr>
          <w:p w14:paraId="3C9F4D3D">
            <w:pPr>
              <w:adjustRightInd w:val="0"/>
              <w:snapToGrid w:val="0"/>
              <w:jc w:val="left"/>
              <w:rPr>
                <w:rFonts w:hint="default" w:ascii="Times New Roman" w:hAnsi="Times New Roman" w:cs="Times New Roman"/>
                <w:color w:val="0C0C0C"/>
                <w:szCs w:val="21"/>
              </w:rPr>
            </w:pPr>
            <w:r>
              <w:rPr>
                <w:rFonts w:hint="default" w:ascii="Times New Roman" w:hAnsi="Times New Roman" w:cs="Times New Roman"/>
                <w:color w:val="0C0C0C"/>
                <w:szCs w:val="21"/>
              </w:rPr>
              <w:t>注：a 仅对标注无磷产品要求。</w:t>
            </w:r>
          </w:p>
        </w:tc>
      </w:tr>
    </w:tbl>
    <w:p w14:paraId="5FAAA9A8">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C0C0C"/>
          <w:szCs w:val="21"/>
        </w:rPr>
      </w:pPr>
    </w:p>
    <w:p w14:paraId="7F46D479">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cs="Times New Roman"/>
          <w:color w:val="0C0C0C"/>
          <w:szCs w:val="21"/>
        </w:rPr>
      </w:pPr>
    </w:p>
    <w:p w14:paraId="15250077">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cs="Times New Roman"/>
          <w:color w:val="0C0C0C"/>
          <w:szCs w:val="21"/>
        </w:rPr>
      </w:pPr>
      <w:r>
        <w:rPr>
          <w:rFonts w:hint="default" w:ascii="Times New Roman" w:hAnsi="Times New Roman" w:cs="Times New Roman"/>
          <w:color w:val="0C0C0C"/>
          <w:szCs w:val="21"/>
        </w:rPr>
        <w:t>表5 食品工具和工业设备用酸性清洗剂</w:t>
      </w:r>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042"/>
        <w:gridCol w:w="5308"/>
      </w:tblGrid>
      <w:tr w14:paraId="2C602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6" w:type="pct"/>
            <w:noWrap w:val="0"/>
            <w:vAlign w:val="center"/>
          </w:tcPr>
          <w:p w14:paraId="1C422367">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序号</w:t>
            </w:r>
          </w:p>
        </w:tc>
        <w:tc>
          <w:tcPr>
            <w:tcW w:w="1659" w:type="pct"/>
            <w:noWrap w:val="0"/>
            <w:vAlign w:val="center"/>
          </w:tcPr>
          <w:p w14:paraId="1059719D">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检验项目</w:t>
            </w:r>
          </w:p>
        </w:tc>
        <w:tc>
          <w:tcPr>
            <w:tcW w:w="2894" w:type="pct"/>
            <w:noWrap w:val="0"/>
            <w:vAlign w:val="center"/>
          </w:tcPr>
          <w:p w14:paraId="7DB9C6F4">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检验方法</w:t>
            </w:r>
          </w:p>
        </w:tc>
      </w:tr>
      <w:tr w14:paraId="4F2A5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6" w:type="pct"/>
            <w:noWrap w:val="0"/>
            <w:vAlign w:val="center"/>
          </w:tcPr>
          <w:p w14:paraId="7F6FCD7A">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1</w:t>
            </w:r>
          </w:p>
        </w:tc>
        <w:tc>
          <w:tcPr>
            <w:tcW w:w="1659" w:type="pct"/>
            <w:noWrap w:val="0"/>
            <w:vAlign w:val="center"/>
          </w:tcPr>
          <w:p w14:paraId="556A85E9">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总砷（以As计）</w:t>
            </w:r>
          </w:p>
        </w:tc>
        <w:tc>
          <w:tcPr>
            <w:tcW w:w="2894" w:type="pct"/>
            <w:noWrap w:val="0"/>
            <w:vAlign w:val="center"/>
          </w:tcPr>
          <w:p w14:paraId="4F8A091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30797—2014</w:t>
            </w:r>
          </w:p>
        </w:tc>
      </w:tr>
      <w:tr w14:paraId="76AB2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6" w:type="pct"/>
            <w:noWrap w:val="0"/>
            <w:vAlign w:val="center"/>
          </w:tcPr>
          <w:p w14:paraId="41647C0B">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2</w:t>
            </w:r>
          </w:p>
        </w:tc>
        <w:tc>
          <w:tcPr>
            <w:tcW w:w="1659" w:type="pct"/>
            <w:noWrap w:val="0"/>
            <w:vAlign w:val="center"/>
          </w:tcPr>
          <w:p w14:paraId="48D8D123">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重金属（以Pb计）</w:t>
            </w:r>
          </w:p>
        </w:tc>
        <w:tc>
          <w:tcPr>
            <w:tcW w:w="2894" w:type="pct"/>
            <w:noWrap w:val="0"/>
            <w:vAlign w:val="center"/>
          </w:tcPr>
          <w:p w14:paraId="3EC461E4">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30799—2014</w:t>
            </w:r>
          </w:p>
        </w:tc>
      </w:tr>
      <w:tr w14:paraId="41405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6" w:type="pct"/>
            <w:noWrap w:val="0"/>
            <w:vAlign w:val="center"/>
          </w:tcPr>
          <w:p w14:paraId="35B90D22">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3</w:t>
            </w:r>
          </w:p>
        </w:tc>
        <w:tc>
          <w:tcPr>
            <w:tcW w:w="1659" w:type="pct"/>
            <w:noWrap w:val="0"/>
            <w:vAlign w:val="center"/>
          </w:tcPr>
          <w:p w14:paraId="4D1754E5">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甲醇</w:t>
            </w:r>
          </w:p>
        </w:tc>
        <w:tc>
          <w:tcPr>
            <w:tcW w:w="2894" w:type="pct"/>
            <w:noWrap w:val="0"/>
            <w:vAlign w:val="center"/>
          </w:tcPr>
          <w:p w14:paraId="740359B7">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30795—2014</w:t>
            </w:r>
          </w:p>
        </w:tc>
      </w:tr>
      <w:tr w14:paraId="188CF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6" w:type="pct"/>
            <w:noWrap w:val="0"/>
            <w:vAlign w:val="center"/>
          </w:tcPr>
          <w:p w14:paraId="6A4617BD">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4</w:t>
            </w:r>
          </w:p>
        </w:tc>
        <w:tc>
          <w:tcPr>
            <w:tcW w:w="1659" w:type="pct"/>
            <w:noWrap w:val="0"/>
            <w:vAlign w:val="center"/>
          </w:tcPr>
          <w:p w14:paraId="3C5FB955">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甲醛</w:t>
            </w:r>
          </w:p>
        </w:tc>
        <w:tc>
          <w:tcPr>
            <w:tcW w:w="2894" w:type="pct"/>
            <w:noWrap w:val="0"/>
            <w:vAlign w:val="center"/>
          </w:tcPr>
          <w:p w14:paraId="59F4A10B">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30796—2014</w:t>
            </w:r>
          </w:p>
        </w:tc>
      </w:tr>
      <w:tr w14:paraId="4E7F3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6" w:type="pct"/>
            <w:noWrap w:val="0"/>
            <w:vAlign w:val="center"/>
          </w:tcPr>
          <w:p w14:paraId="42415047">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5</w:t>
            </w:r>
          </w:p>
        </w:tc>
        <w:tc>
          <w:tcPr>
            <w:tcW w:w="1659" w:type="pct"/>
            <w:noWrap w:val="0"/>
            <w:vAlign w:val="center"/>
          </w:tcPr>
          <w:p w14:paraId="5E224595">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1,4-二噁烷</w:t>
            </w:r>
          </w:p>
        </w:tc>
        <w:tc>
          <w:tcPr>
            <w:tcW w:w="2894" w:type="pct"/>
            <w:noWrap w:val="0"/>
            <w:vAlign w:val="center"/>
          </w:tcPr>
          <w:p w14:paraId="53300A1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26388—2011气相色谱—质谱（GC—MSD）法</w:t>
            </w:r>
          </w:p>
        </w:tc>
      </w:tr>
      <w:tr w14:paraId="5E91D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6" w:type="pct"/>
            <w:noWrap w:val="0"/>
            <w:vAlign w:val="center"/>
          </w:tcPr>
          <w:p w14:paraId="0A817178">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6</w:t>
            </w:r>
          </w:p>
        </w:tc>
        <w:tc>
          <w:tcPr>
            <w:tcW w:w="1659" w:type="pct"/>
            <w:noWrap w:val="0"/>
            <w:vAlign w:val="center"/>
          </w:tcPr>
          <w:p w14:paraId="54956E23">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菌落总数</w:t>
            </w:r>
          </w:p>
        </w:tc>
        <w:tc>
          <w:tcPr>
            <w:tcW w:w="2894" w:type="pct"/>
            <w:noWrap w:val="0"/>
            <w:vAlign w:val="center"/>
          </w:tcPr>
          <w:p w14:paraId="07F9A1B2">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1B343C84">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4789.2—2022</w:t>
            </w:r>
          </w:p>
        </w:tc>
      </w:tr>
      <w:tr w14:paraId="54CBE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6" w:type="pct"/>
            <w:noWrap w:val="0"/>
            <w:vAlign w:val="center"/>
          </w:tcPr>
          <w:p w14:paraId="30008AD0">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7</w:t>
            </w:r>
          </w:p>
        </w:tc>
        <w:tc>
          <w:tcPr>
            <w:tcW w:w="1659" w:type="pct"/>
            <w:noWrap w:val="0"/>
            <w:vAlign w:val="center"/>
          </w:tcPr>
          <w:p w14:paraId="5DF49ED9">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大肠菌群</w:t>
            </w:r>
          </w:p>
        </w:tc>
        <w:tc>
          <w:tcPr>
            <w:tcW w:w="2894" w:type="pct"/>
            <w:noWrap w:val="0"/>
            <w:vAlign w:val="center"/>
          </w:tcPr>
          <w:p w14:paraId="201E5E98">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57E5F616">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4789.3—2016大肠菌群平板计数法</w:t>
            </w:r>
          </w:p>
        </w:tc>
      </w:tr>
      <w:tr w14:paraId="299C9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46" w:type="pct"/>
            <w:noWrap w:val="0"/>
            <w:vAlign w:val="center"/>
          </w:tcPr>
          <w:p w14:paraId="41C7F1B3">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8</w:t>
            </w:r>
          </w:p>
        </w:tc>
        <w:tc>
          <w:tcPr>
            <w:tcW w:w="1659" w:type="pct"/>
            <w:noWrap w:val="0"/>
            <w:vAlign w:val="center"/>
          </w:tcPr>
          <w:p w14:paraId="11534F72">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总五氧化二磷（P</w:t>
            </w:r>
            <w:r>
              <w:rPr>
                <w:rFonts w:hint="default" w:ascii="Times New Roman" w:hAnsi="Times New Roman" w:cs="Times New Roman"/>
                <w:color w:val="0C0C0C"/>
                <w:szCs w:val="21"/>
                <w:vertAlign w:val="subscript"/>
              </w:rPr>
              <w:t>2</w:t>
            </w:r>
            <w:r>
              <w:rPr>
                <w:rFonts w:hint="default" w:ascii="Times New Roman" w:hAnsi="Times New Roman" w:cs="Times New Roman"/>
                <w:color w:val="0C0C0C"/>
                <w:szCs w:val="21"/>
              </w:rPr>
              <w:t>O</w:t>
            </w:r>
            <w:r>
              <w:rPr>
                <w:rFonts w:hint="default" w:ascii="Times New Roman" w:hAnsi="Times New Roman" w:cs="Times New Roman"/>
                <w:color w:val="0C0C0C"/>
                <w:szCs w:val="21"/>
                <w:vertAlign w:val="subscript"/>
              </w:rPr>
              <w:t>5</w:t>
            </w:r>
            <w:r>
              <w:rPr>
                <w:rFonts w:hint="default" w:ascii="Times New Roman" w:hAnsi="Times New Roman" w:cs="Times New Roman"/>
                <w:color w:val="0C0C0C"/>
                <w:szCs w:val="21"/>
              </w:rPr>
              <w:t>）含量</w:t>
            </w:r>
            <w:r>
              <w:rPr>
                <w:rFonts w:hint="default" w:ascii="Times New Roman" w:hAnsi="Times New Roman" w:cs="Times New Roman"/>
                <w:color w:val="0C0C0C"/>
                <w:szCs w:val="21"/>
                <w:vertAlign w:val="superscript"/>
              </w:rPr>
              <w:t>a</w:t>
            </w:r>
          </w:p>
        </w:tc>
        <w:tc>
          <w:tcPr>
            <w:tcW w:w="2894" w:type="pct"/>
            <w:noWrap w:val="0"/>
            <w:vAlign w:val="center"/>
          </w:tcPr>
          <w:p w14:paraId="50F551F8">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 xml:space="preserve">GB/T 13173—2021 </w:t>
            </w:r>
          </w:p>
        </w:tc>
      </w:tr>
      <w:tr w14:paraId="21FF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46" w:type="pct"/>
            <w:noWrap w:val="0"/>
            <w:vAlign w:val="center"/>
          </w:tcPr>
          <w:p w14:paraId="172E878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9</w:t>
            </w:r>
          </w:p>
        </w:tc>
        <w:tc>
          <w:tcPr>
            <w:tcW w:w="1659" w:type="pct"/>
            <w:noWrap w:val="0"/>
            <w:vAlign w:val="center"/>
          </w:tcPr>
          <w:p w14:paraId="36335DCB">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表面活性剂含量</w:t>
            </w:r>
            <w:r>
              <w:rPr>
                <w:rFonts w:hint="default" w:ascii="Times New Roman" w:hAnsi="Times New Roman" w:cs="Times New Roman"/>
                <w:color w:val="0C0C0C"/>
                <w:szCs w:val="21"/>
                <w:vertAlign w:val="superscript"/>
              </w:rPr>
              <w:t>b</w:t>
            </w:r>
          </w:p>
        </w:tc>
        <w:tc>
          <w:tcPr>
            <w:tcW w:w="2894" w:type="pct"/>
            <w:noWrap w:val="0"/>
            <w:vAlign w:val="center"/>
          </w:tcPr>
          <w:p w14:paraId="2538C871">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 xml:space="preserve">GB/T 13173—2021 </w:t>
            </w:r>
          </w:p>
        </w:tc>
      </w:tr>
      <w:tr w14:paraId="1C516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46" w:type="pct"/>
            <w:noWrap w:val="0"/>
            <w:vAlign w:val="center"/>
          </w:tcPr>
          <w:p w14:paraId="04A4E161">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10</w:t>
            </w:r>
          </w:p>
        </w:tc>
        <w:tc>
          <w:tcPr>
            <w:tcW w:w="1659" w:type="pct"/>
            <w:noWrap w:val="0"/>
            <w:vAlign w:val="center"/>
          </w:tcPr>
          <w:p w14:paraId="7A5FF0A1">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有效酸的质量分数（以HNO</w:t>
            </w:r>
            <w:r>
              <w:rPr>
                <w:rFonts w:hint="default" w:ascii="Times New Roman" w:hAnsi="Times New Roman" w:cs="Times New Roman"/>
                <w:color w:val="0C0C0C"/>
                <w:szCs w:val="21"/>
                <w:vertAlign w:val="subscript"/>
              </w:rPr>
              <w:t>3</w:t>
            </w:r>
            <w:r>
              <w:rPr>
                <w:rFonts w:hint="default" w:ascii="Times New Roman" w:hAnsi="Times New Roman" w:cs="Times New Roman"/>
                <w:color w:val="0C0C0C"/>
                <w:szCs w:val="21"/>
              </w:rPr>
              <w:t>计）</w:t>
            </w:r>
          </w:p>
        </w:tc>
        <w:tc>
          <w:tcPr>
            <w:tcW w:w="2894" w:type="pct"/>
            <w:noWrap w:val="0"/>
            <w:vAlign w:val="center"/>
          </w:tcPr>
          <w:p w14:paraId="3768A455">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 xml:space="preserve">QB/T 4313—2023 </w:t>
            </w:r>
          </w:p>
        </w:tc>
      </w:tr>
      <w:tr w14:paraId="6502B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46" w:type="pct"/>
            <w:noWrap w:val="0"/>
            <w:vAlign w:val="center"/>
          </w:tcPr>
          <w:p w14:paraId="138E8C52">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11</w:t>
            </w:r>
          </w:p>
        </w:tc>
        <w:tc>
          <w:tcPr>
            <w:tcW w:w="1659" w:type="pct"/>
            <w:noWrap w:val="0"/>
            <w:vAlign w:val="center"/>
          </w:tcPr>
          <w:p w14:paraId="2A72F0F7">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腐蚀率</w:t>
            </w:r>
          </w:p>
        </w:tc>
        <w:tc>
          <w:tcPr>
            <w:tcW w:w="2894" w:type="pct"/>
            <w:noWrap w:val="0"/>
            <w:vAlign w:val="center"/>
          </w:tcPr>
          <w:p w14:paraId="607EA61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 xml:space="preserve">QB/T 4313—2023 </w:t>
            </w:r>
          </w:p>
        </w:tc>
      </w:tr>
      <w:tr w14:paraId="0B9CD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00" w:type="pct"/>
            <w:gridSpan w:val="3"/>
            <w:noWrap w:val="0"/>
            <w:vAlign w:val="center"/>
          </w:tcPr>
          <w:p w14:paraId="028364BC">
            <w:pPr>
              <w:adjustRightInd w:val="0"/>
              <w:snapToGrid w:val="0"/>
              <w:jc w:val="both"/>
              <w:rPr>
                <w:rFonts w:hint="default" w:ascii="Times New Roman" w:hAnsi="Times New Roman" w:cs="Times New Roman"/>
                <w:color w:val="0C0C0C"/>
                <w:szCs w:val="21"/>
              </w:rPr>
            </w:pPr>
            <w:r>
              <w:rPr>
                <w:rFonts w:hint="default" w:ascii="Times New Roman" w:hAnsi="Times New Roman" w:cs="Times New Roman"/>
                <w:color w:val="0C0C0C"/>
                <w:szCs w:val="21"/>
              </w:rPr>
              <w:t>注：a 仅对标注无磷产品要求。</w:t>
            </w:r>
          </w:p>
          <w:p w14:paraId="5DFCC2CD">
            <w:pPr>
              <w:adjustRightInd w:val="0"/>
              <w:snapToGrid w:val="0"/>
              <w:ind w:firstLine="420"/>
              <w:jc w:val="both"/>
              <w:rPr>
                <w:rFonts w:hint="default" w:ascii="Times New Roman" w:hAnsi="Times New Roman" w:cs="Times New Roman"/>
                <w:color w:val="0C0C0C"/>
                <w:szCs w:val="21"/>
              </w:rPr>
            </w:pPr>
            <w:r>
              <w:rPr>
                <w:rFonts w:hint="default" w:ascii="Times New Roman" w:hAnsi="Times New Roman" w:cs="Times New Roman"/>
                <w:color w:val="0C0C0C"/>
                <w:szCs w:val="21"/>
              </w:rPr>
              <w:t>b 仅对增效型（B型）产品要求。</w:t>
            </w:r>
          </w:p>
        </w:tc>
      </w:tr>
    </w:tbl>
    <w:p w14:paraId="2E909025">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C0C0C"/>
          <w:szCs w:val="21"/>
        </w:rPr>
      </w:pPr>
    </w:p>
    <w:p w14:paraId="3D400E65">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cs="Times New Roman"/>
          <w:color w:val="0C0C0C"/>
          <w:szCs w:val="21"/>
        </w:rPr>
      </w:pPr>
      <w:r>
        <w:rPr>
          <w:rFonts w:hint="default" w:ascii="Times New Roman" w:hAnsi="Times New Roman" w:cs="Times New Roman"/>
          <w:color w:val="0C0C0C"/>
          <w:szCs w:val="21"/>
        </w:rPr>
        <w:t>表6 食品工具和工业设备用碱性清洗剂</w:t>
      </w:r>
    </w:p>
    <w:tbl>
      <w:tblPr>
        <w:tblStyle w:val="6"/>
        <w:tblW w:w="500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3073"/>
        <w:gridCol w:w="5301"/>
        <w:gridCol w:w="17"/>
      </w:tblGrid>
      <w:tr w14:paraId="19E4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34" w:type="pct"/>
            <w:noWrap w:val="0"/>
            <w:vAlign w:val="center"/>
          </w:tcPr>
          <w:p w14:paraId="2C3D7575">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序号</w:t>
            </w:r>
          </w:p>
        </w:tc>
        <w:tc>
          <w:tcPr>
            <w:tcW w:w="1672" w:type="pct"/>
            <w:noWrap w:val="0"/>
            <w:vAlign w:val="center"/>
          </w:tcPr>
          <w:p w14:paraId="6FC2088E">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检验项目</w:t>
            </w:r>
          </w:p>
        </w:tc>
        <w:tc>
          <w:tcPr>
            <w:tcW w:w="2893" w:type="pct"/>
            <w:gridSpan w:val="2"/>
            <w:noWrap w:val="0"/>
            <w:vAlign w:val="center"/>
          </w:tcPr>
          <w:p w14:paraId="4D0512EF">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检验方法</w:t>
            </w:r>
          </w:p>
        </w:tc>
      </w:tr>
      <w:tr w14:paraId="6850F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6CAF4ED5">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1</w:t>
            </w:r>
          </w:p>
        </w:tc>
        <w:tc>
          <w:tcPr>
            <w:tcW w:w="1672" w:type="pct"/>
            <w:noWrap w:val="0"/>
            <w:vAlign w:val="center"/>
          </w:tcPr>
          <w:p w14:paraId="0BAB866F">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总砷（以As计）</w:t>
            </w:r>
          </w:p>
        </w:tc>
        <w:tc>
          <w:tcPr>
            <w:tcW w:w="2893" w:type="pct"/>
            <w:gridSpan w:val="2"/>
            <w:noWrap w:val="0"/>
            <w:vAlign w:val="center"/>
          </w:tcPr>
          <w:p w14:paraId="4A4F41E9">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30797—2014</w:t>
            </w:r>
          </w:p>
        </w:tc>
      </w:tr>
      <w:tr w14:paraId="39655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1EA623F0">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2</w:t>
            </w:r>
          </w:p>
        </w:tc>
        <w:tc>
          <w:tcPr>
            <w:tcW w:w="1672" w:type="pct"/>
            <w:noWrap w:val="0"/>
            <w:vAlign w:val="center"/>
          </w:tcPr>
          <w:p w14:paraId="6A9652D6">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重金属（以Pb计）</w:t>
            </w:r>
          </w:p>
        </w:tc>
        <w:tc>
          <w:tcPr>
            <w:tcW w:w="2893" w:type="pct"/>
            <w:gridSpan w:val="2"/>
            <w:noWrap w:val="0"/>
            <w:vAlign w:val="center"/>
          </w:tcPr>
          <w:p w14:paraId="71648A2F">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30799—2014</w:t>
            </w:r>
          </w:p>
        </w:tc>
      </w:tr>
      <w:tr w14:paraId="5D7C1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050A8F6C">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3</w:t>
            </w:r>
          </w:p>
        </w:tc>
        <w:tc>
          <w:tcPr>
            <w:tcW w:w="1672" w:type="pct"/>
            <w:noWrap w:val="0"/>
            <w:vAlign w:val="center"/>
          </w:tcPr>
          <w:p w14:paraId="52DCD393">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甲醇</w:t>
            </w:r>
          </w:p>
        </w:tc>
        <w:tc>
          <w:tcPr>
            <w:tcW w:w="2893" w:type="pct"/>
            <w:gridSpan w:val="2"/>
            <w:noWrap w:val="0"/>
            <w:vAlign w:val="center"/>
          </w:tcPr>
          <w:p w14:paraId="00B1CEFA">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30795—2014</w:t>
            </w:r>
          </w:p>
        </w:tc>
      </w:tr>
      <w:tr w14:paraId="41B33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213040C6">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4</w:t>
            </w:r>
          </w:p>
        </w:tc>
        <w:tc>
          <w:tcPr>
            <w:tcW w:w="1672" w:type="pct"/>
            <w:noWrap w:val="0"/>
            <w:vAlign w:val="center"/>
          </w:tcPr>
          <w:p w14:paraId="51927E74">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甲醛</w:t>
            </w:r>
          </w:p>
        </w:tc>
        <w:tc>
          <w:tcPr>
            <w:tcW w:w="2893" w:type="pct"/>
            <w:gridSpan w:val="2"/>
            <w:noWrap w:val="0"/>
            <w:vAlign w:val="center"/>
          </w:tcPr>
          <w:p w14:paraId="48EB712B">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30796—2014</w:t>
            </w:r>
          </w:p>
        </w:tc>
      </w:tr>
      <w:tr w14:paraId="6C454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6B689D67">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5</w:t>
            </w:r>
          </w:p>
        </w:tc>
        <w:tc>
          <w:tcPr>
            <w:tcW w:w="1672" w:type="pct"/>
            <w:noWrap w:val="0"/>
            <w:vAlign w:val="center"/>
          </w:tcPr>
          <w:p w14:paraId="2E3981DD">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1,4-二噁烷</w:t>
            </w:r>
          </w:p>
        </w:tc>
        <w:tc>
          <w:tcPr>
            <w:tcW w:w="2893" w:type="pct"/>
            <w:gridSpan w:val="2"/>
            <w:noWrap w:val="0"/>
            <w:vAlign w:val="center"/>
          </w:tcPr>
          <w:p w14:paraId="32480B91">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26388—2011气相色谱—质谱（GC—MSD）法</w:t>
            </w:r>
          </w:p>
        </w:tc>
      </w:tr>
      <w:tr w14:paraId="0E17E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6099B2EB">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6</w:t>
            </w:r>
          </w:p>
        </w:tc>
        <w:tc>
          <w:tcPr>
            <w:tcW w:w="1672" w:type="pct"/>
            <w:noWrap w:val="0"/>
            <w:vAlign w:val="center"/>
          </w:tcPr>
          <w:p w14:paraId="6ACA5B8A">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菌落总数</w:t>
            </w:r>
          </w:p>
        </w:tc>
        <w:tc>
          <w:tcPr>
            <w:tcW w:w="2893" w:type="pct"/>
            <w:gridSpan w:val="2"/>
            <w:noWrap w:val="0"/>
            <w:vAlign w:val="center"/>
          </w:tcPr>
          <w:p w14:paraId="79E0B003">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225BC92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4789.2—2022</w:t>
            </w:r>
          </w:p>
        </w:tc>
      </w:tr>
      <w:tr w14:paraId="64BA1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115B0950">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7</w:t>
            </w:r>
          </w:p>
        </w:tc>
        <w:tc>
          <w:tcPr>
            <w:tcW w:w="1672" w:type="pct"/>
            <w:noWrap w:val="0"/>
            <w:vAlign w:val="center"/>
          </w:tcPr>
          <w:p w14:paraId="41AAA13C">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大肠菌群</w:t>
            </w:r>
          </w:p>
        </w:tc>
        <w:tc>
          <w:tcPr>
            <w:tcW w:w="2893" w:type="pct"/>
            <w:gridSpan w:val="2"/>
            <w:noWrap w:val="0"/>
            <w:vAlign w:val="center"/>
          </w:tcPr>
          <w:p w14:paraId="33DAF272">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4FB59131">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4789.3—2016大肠菌群平板计数法</w:t>
            </w:r>
          </w:p>
        </w:tc>
      </w:tr>
      <w:tr w14:paraId="27D20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7F5F76C3">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8</w:t>
            </w:r>
          </w:p>
        </w:tc>
        <w:tc>
          <w:tcPr>
            <w:tcW w:w="1672" w:type="pct"/>
            <w:noWrap w:val="0"/>
            <w:vAlign w:val="center"/>
          </w:tcPr>
          <w:p w14:paraId="44532CEC">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总五氧化二磷（P</w:t>
            </w:r>
            <w:r>
              <w:rPr>
                <w:rFonts w:hint="default" w:ascii="Times New Roman" w:hAnsi="Times New Roman" w:cs="Times New Roman"/>
                <w:color w:val="0C0C0C"/>
                <w:szCs w:val="21"/>
                <w:vertAlign w:val="subscript"/>
              </w:rPr>
              <w:t>2</w:t>
            </w:r>
            <w:r>
              <w:rPr>
                <w:rFonts w:hint="default" w:ascii="Times New Roman" w:hAnsi="Times New Roman" w:cs="Times New Roman"/>
                <w:color w:val="0C0C0C"/>
                <w:szCs w:val="21"/>
              </w:rPr>
              <w:t>O</w:t>
            </w:r>
            <w:r>
              <w:rPr>
                <w:rFonts w:hint="default" w:ascii="Times New Roman" w:hAnsi="Times New Roman" w:cs="Times New Roman"/>
                <w:color w:val="0C0C0C"/>
                <w:szCs w:val="21"/>
                <w:vertAlign w:val="subscript"/>
              </w:rPr>
              <w:t>5</w:t>
            </w:r>
            <w:r>
              <w:rPr>
                <w:rFonts w:hint="default" w:ascii="Times New Roman" w:hAnsi="Times New Roman" w:cs="Times New Roman"/>
                <w:color w:val="0C0C0C"/>
                <w:szCs w:val="21"/>
              </w:rPr>
              <w:t>）含量</w:t>
            </w:r>
            <w:r>
              <w:rPr>
                <w:rFonts w:hint="default" w:ascii="Times New Roman" w:hAnsi="Times New Roman" w:cs="Times New Roman"/>
                <w:color w:val="0C0C0C"/>
                <w:szCs w:val="21"/>
                <w:vertAlign w:val="superscript"/>
              </w:rPr>
              <w:t>a</w:t>
            </w:r>
          </w:p>
        </w:tc>
        <w:tc>
          <w:tcPr>
            <w:tcW w:w="2893" w:type="pct"/>
            <w:gridSpan w:val="2"/>
            <w:noWrap w:val="0"/>
            <w:vAlign w:val="center"/>
          </w:tcPr>
          <w:p w14:paraId="7FCE2B70">
            <w:pPr>
              <w:adjustRightInd w:val="0"/>
              <w:snapToGrid w:val="0"/>
              <w:jc w:val="center"/>
              <w:rPr>
                <w:rFonts w:hint="default" w:ascii="Times New Roman" w:hAnsi="Times New Roman" w:cs="Times New Roman"/>
                <w:color w:val="0C0C0C"/>
              </w:rPr>
            </w:pPr>
            <w:r>
              <w:rPr>
                <w:rFonts w:hint="default" w:ascii="Times New Roman" w:hAnsi="Times New Roman" w:cs="Times New Roman"/>
                <w:color w:val="0C0C0C"/>
                <w:szCs w:val="21"/>
              </w:rPr>
              <w:t xml:space="preserve">GB/T 13173—2021 </w:t>
            </w:r>
          </w:p>
        </w:tc>
      </w:tr>
      <w:tr w14:paraId="7CC39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44F44B33">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9</w:t>
            </w:r>
          </w:p>
        </w:tc>
        <w:tc>
          <w:tcPr>
            <w:tcW w:w="1672" w:type="pct"/>
            <w:noWrap w:val="0"/>
            <w:vAlign w:val="center"/>
          </w:tcPr>
          <w:p w14:paraId="002F42D1">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表面活性剂含量</w:t>
            </w:r>
            <w:r>
              <w:rPr>
                <w:rFonts w:hint="default" w:ascii="Times New Roman" w:hAnsi="Times New Roman" w:cs="Times New Roman"/>
                <w:color w:val="0C0C0C"/>
                <w:szCs w:val="21"/>
                <w:vertAlign w:val="superscript"/>
              </w:rPr>
              <w:t>b</w:t>
            </w:r>
          </w:p>
        </w:tc>
        <w:tc>
          <w:tcPr>
            <w:tcW w:w="2893" w:type="pct"/>
            <w:gridSpan w:val="2"/>
            <w:noWrap w:val="0"/>
            <w:vAlign w:val="center"/>
          </w:tcPr>
          <w:p w14:paraId="2EE60CA9">
            <w:pPr>
              <w:adjustRightInd w:val="0"/>
              <w:snapToGrid w:val="0"/>
              <w:jc w:val="center"/>
              <w:rPr>
                <w:rFonts w:hint="default" w:ascii="Times New Roman" w:hAnsi="Times New Roman" w:cs="Times New Roman"/>
                <w:color w:val="0C0C0C"/>
                <w:kern w:val="0"/>
                <w:szCs w:val="21"/>
              </w:rPr>
            </w:pPr>
            <w:r>
              <w:rPr>
                <w:rFonts w:hint="default" w:ascii="Times New Roman" w:hAnsi="Times New Roman" w:cs="Times New Roman"/>
                <w:color w:val="0C0C0C"/>
                <w:szCs w:val="21"/>
              </w:rPr>
              <w:t>GB/T 13173—2021</w:t>
            </w:r>
          </w:p>
        </w:tc>
      </w:tr>
      <w:tr w14:paraId="32D7C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34" w:type="pct"/>
            <w:noWrap w:val="0"/>
            <w:vAlign w:val="center"/>
          </w:tcPr>
          <w:p w14:paraId="679F776A">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10</w:t>
            </w:r>
          </w:p>
        </w:tc>
        <w:tc>
          <w:tcPr>
            <w:tcW w:w="1672" w:type="pct"/>
            <w:noWrap w:val="0"/>
            <w:vAlign w:val="center"/>
          </w:tcPr>
          <w:p w14:paraId="20198EB6">
            <w:pPr>
              <w:adjustRightInd w:val="0"/>
              <w:snapToGrid w:val="0"/>
              <w:jc w:val="center"/>
              <w:rPr>
                <w:rFonts w:hint="default" w:ascii="Times New Roman" w:hAnsi="Times New Roman" w:cs="Times New Roman"/>
                <w:color w:val="0C0C0C"/>
                <w:szCs w:val="21"/>
                <w:vertAlign w:val="superscript"/>
              </w:rPr>
            </w:pPr>
            <w:r>
              <w:rPr>
                <w:rFonts w:hint="default" w:ascii="Times New Roman" w:hAnsi="Times New Roman" w:cs="Times New Roman"/>
                <w:color w:val="0C0C0C"/>
                <w:szCs w:val="21"/>
              </w:rPr>
              <w:t>总碱的质量分数（以NaOH计）</w:t>
            </w:r>
            <w:r>
              <w:rPr>
                <w:rFonts w:hint="default" w:ascii="Times New Roman" w:hAnsi="Times New Roman" w:cs="Times New Roman"/>
                <w:color w:val="0C0C0C"/>
                <w:szCs w:val="21"/>
                <w:vertAlign w:val="superscript"/>
              </w:rPr>
              <w:t>c</w:t>
            </w:r>
          </w:p>
        </w:tc>
        <w:tc>
          <w:tcPr>
            <w:tcW w:w="2893" w:type="pct"/>
            <w:gridSpan w:val="2"/>
            <w:noWrap w:val="0"/>
            <w:vAlign w:val="center"/>
          </w:tcPr>
          <w:p w14:paraId="04639C3E">
            <w:pPr>
              <w:adjustRightInd w:val="0"/>
              <w:snapToGrid w:val="0"/>
              <w:jc w:val="center"/>
              <w:rPr>
                <w:rFonts w:hint="default" w:ascii="Times New Roman" w:hAnsi="Times New Roman" w:cs="Times New Roman"/>
                <w:color w:val="0C0C0C"/>
              </w:rPr>
            </w:pPr>
            <w:r>
              <w:rPr>
                <w:rFonts w:hint="default" w:ascii="Times New Roman" w:hAnsi="Times New Roman" w:cs="Times New Roman"/>
                <w:color w:val="0C0C0C"/>
                <w:szCs w:val="21"/>
              </w:rPr>
              <w:t xml:space="preserve">QB/T 4314—2023 </w:t>
            </w:r>
          </w:p>
        </w:tc>
      </w:tr>
      <w:tr w14:paraId="02334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trHeight w:val="0" w:hRule="atLeast"/>
          <w:jc w:val="center"/>
        </w:trPr>
        <w:tc>
          <w:tcPr>
            <w:tcW w:w="4990" w:type="pct"/>
            <w:gridSpan w:val="3"/>
            <w:noWrap w:val="0"/>
            <w:vAlign w:val="top"/>
          </w:tcPr>
          <w:p w14:paraId="70AD33E6">
            <w:pPr>
              <w:adjustRightInd w:val="0"/>
              <w:snapToGrid w:val="0"/>
              <w:jc w:val="left"/>
              <w:rPr>
                <w:rFonts w:hint="default" w:ascii="Times New Roman" w:hAnsi="Times New Roman" w:cs="Times New Roman"/>
                <w:color w:val="0C0C0C"/>
                <w:szCs w:val="21"/>
              </w:rPr>
            </w:pPr>
            <w:r>
              <w:rPr>
                <w:rFonts w:hint="default" w:ascii="Times New Roman" w:hAnsi="Times New Roman" w:cs="Times New Roman"/>
                <w:color w:val="0C0C0C"/>
                <w:szCs w:val="21"/>
              </w:rPr>
              <w:t>注：a 仅对标注无磷产品要求。</w:t>
            </w:r>
          </w:p>
          <w:p w14:paraId="218C808F">
            <w:pPr>
              <w:adjustRightInd w:val="0"/>
              <w:snapToGrid w:val="0"/>
              <w:ind w:firstLine="420" w:firstLineChars="200"/>
              <w:rPr>
                <w:rFonts w:hint="default" w:ascii="Times New Roman" w:hAnsi="Times New Roman" w:cs="Times New Roman"/>
                <w:color w:val="0C0C0C"/>
                <w:szCs w:val="21"/>
              </w:rPr>
            </w:pPr>
            <w:r>
              <w:rPr>
                <w:rFonts w:hint="default" w:ascii="Times New Roman" w:hAnsi="Times New Roman" w:cs="Times New Roman"/>
                <w:color w:val="0C0C0C"/>
                <w:szCs w:val="21"/>
              </w:rPr>
              <w:t>b 仅对增效型（B型）产品要求。</w:t>
            </w:r>
          </w:p>
          <w:p w14:paraId="55D97238">
            <w:pPr>
              <w:adjustRightInd w:val="0"/>
              <w:snapToGrid w:val="0"/>
              <w:ind w:firstLine="420" w:firstLineChars="200"/>
              <w:rPr>
                <w:rFonts w:hint="default" w:ascii="Times New Roman" w:hAnsi="Times New Roman" w:cs="Times New Roman"/>
                <w:color w:val="0C0C0C"/>
                <w:szCs w:val="21"/>
              </w:rPr>
            </w:pPr>
            <w:r>
              <w:rPr>
                <w:rFonts w:hint="default" w:ascii="Times New Roman" w:hAnsi="Times New Roman" w:cs="Times New Roman"/>
                <w:color w:val="0C0C0C"/>
                <w:szCs w:val="21"/>
              </w:rPr>
              <w:t>c仅对普通型（A型）产品要求。</w:t>
            </w:r>
          </w:p>
        </w:tc>
      </w:tr>
    </w:tbl>
    <w:p w14:paraId="3AF6529C">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C0C0C"/>
          <w:szCs w:val="21"/>
        </w:rPr>
      </w:pPr>
    </w:p>
    <w:p w14:paraId="73DBFA7B">
      <w:pPr>
        <w:keepNext w:val="0"/>
        <w:keepLines w:val="0"/>
        <w:pageBreakBefore w:val="0"/>
        <w:widowControl w:val="0"/>
        <w:kinsoku/>
        <w:wordWrap/>
        <w:overflowPunct/>
        <w:topLinePunct w:val="0"/>
        <w:autoSpaceDE/>
        <w:autoSpaceDN/>
        <w:bidi w:val="0"/>
        <w:adjustRightInd w:val="0"/>
        <w:snapToGrid w:val="0"/>
        <w:spacing w:line="440" w:lineRule="exact"/>
        <w:ind w:firstLine="105" w:firstLineChars="50"/>
        <w:jc w:val="center"/>
        <w:textAlignment w:val="auto"/>
        <w:rPr>
          <w:rFonts w:hint="default" w:ascii="Times New Roman" w:hAnsi="Times New Roman" w:cs="Times New Roman"/>
          <w:color w:val="0C0C0C"/>
          <w:szCs w:val="21"/>
        </w:rPr>
      </w:pPr>
      <w:r>
        <w:rPr>
          <w:rFonts w:hint="default" w:ascii="Times New Roman" w:hAnsi="Times New Roman" w:cs="Times New Roman"/>
          <w:color w:val="0C0C0C"/>
          <w:szCs w:val="21"/>
        </w:rPr>
        <w:t xml:space="preserve">表7 </w:t>
      </w:r>
      <w:bookmarkStart w:id="2" w:name="_Hlk28345520"/>
      <w:r>
        <w:rPr>
          <w:rFonts w:hint="default" w:ascii="Times New Roman" w:hAnsi="Times New Roman" w:cs="Times New Roman"/>
          <w:color w:val="0C0C0C"/>
          <w:szCs w:val="21"/>
        </w:rPr>
        <w:t>机洗餐具用洗涤剂产品及食品工业用（含复合主剂）洗涤剂</w:t>
      </w:r>
      <w:bookmarkEnd w:id="2"/>
    </w:p>
    <w:tbl>
      <w:tblPr>
        <w:tblStyle w:val="6"/>
        <w:tblW w:w="50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3075"/>
        <w:gridCol w:w="5368"/>
      </w:tblGrid>
      <w:tr w14:paraId="3BEF3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3" w:hRule="atLeast"/>
          <w:tblHeader/>
          <w:jc w:val="center"/>
        </w:trPr>
        <w:tc>
          <w:tcPr>
            <w:tcW w:w="459" w:type="pct"/>
            <w:tcBorders>
              <w:bottom w:val="single" w:color="auto" w:sz="4" w:space="0"/>
            </w:tcBorders>
            <w:noWrap w:val="0"/>
            <w:vAlign w:val="center"/>
          </w:tcPr>
          <w:p w14:paraId="06BA6DC1">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序号</w:t>
            </w:r>
          </w:p>
        </w:tc>
        <w:tc>
          <w:tcPr>
            <w:tcW w:w="1653" w:type="pct"/>
            <w:tcBorders>
              <w:bottom w:val="single" w:color="auto" w:sz="4" w:space="0"/>
            </w:tcBorders>
            <w:noWrap w:val="0"/>
            <w:vAlign w:val="center"/>
          </w:tcPr>
          <w:p w14:paraId="43C11364">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检验项目</w:t>
            </w:r>
          </w:p>
        </w:tc>
        <w:tc>
          <w:tcPr>
            <w:tcW w:w="2887" w:type="pct"/>
            <w:tcBorders>
              <w:bottom w:val="single" w:color="auto" w:sz="4" w:space="0"/>
            </w:tcBorders>
            <w:noWrap w:val="0"/>
            <w:vAlign w:val="center"/>
          </w:tcPr>
          <w:p w14:paraId="0A649250">
            <w:pPr>
              <w:adjustRightInd w:val="0"/>
              <w:snapToGrid w:val="0"/>
              <w:spacing w:line="440" w:lineRule="exact"/>
              <w:jc w:val="center"/>
              <w:rPr>
                <w:rFonts w:hint="default" w:ascii="Times New Roman" w:hAnsi="Times New Roman" w:cs="Times New Roman"/>
                <w:color w:val="0C0C0C"/>
                <w:szCs w:val="21"/>
              </w:rPr>
            </w:pPr>
            <w:r>
              <w:rPr>
                <w:rFonts w:hint="default" w:ascii="Times New Roman" w:hAnsi="Times New Roman" w:cs="Times New Roman"/>
                <w:color w:val="0C0C0C"/>
                <w:szCs w:val="21"/>
              </w:rPr>
              <w:t>检验方法</w:t>
            </w:r>
          </w:p>
        </w:tc>
      </w:tr>
      <w:tr w14:paraId="14323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59" w:type="pct"/>
            <w:noWrap w:val="0"/>
            <w:vAlign w:val="center"/>
          </w:tcPr>
          <w:p w14:paraId="38787636">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1</w:t>
            </w:r>
          </w:p>
        </w:tc>
        <w:tc>
          <w:tcPr>
            <w:tcW w:w="1653" w:type="pct"/>
            <w:noWrap w:val="0"/>
            <w:vAlign w:val="center"/>
          </w:tcPr>
          <w:p w14:paraId="063CB4D8">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总砷（以As计）</w:t>
            </w:r>
          </w:p>
        </w:tc>
        <w:tc>
          <w:tcPr>
            <w:tcW w:w="2887" w:type="pct"/>
            <w:noWrap w:val="0"/>
            <w:vAlign w:val="center"/>
          </w:tcPr>
          <w:p w14:paraId="3F2F9689">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30797—2014</w:t>
            </w:r>
          </w:p>
        </w:tc>
      </w:tr>
      <w:tr w14:paraId="13223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59" w:type="pct"/>
            <w:noWrap w:val="0"/>
            <w:vAlign w:val="center"/>
          </w:tcPr>
          <w:p w14:paraId="1D5C1B60">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2</w:t>
            </w:r>
          </w:p>
        </w:tc>
        <w:tc>
          <w:tcPr>
            <w:tcW w:w="1653" w:type="pct"/>
            <w:noWrap w:val="0"/>
            <w:vAlign w:val="center"/>
          </w:tcPr>
          <w:p w14:paraId="116CD8A6">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重金属（以Pb计）</w:t>
            </w:r>
          </w:p>
        </w:tc>
        <w:tc>
          <w:tcPr>
            <w:tcW w:w="2887" w:type="pct"/>
            <w:noWrap w:val="0"/>
            <w:vAlign w:val="center"/>
          </w:tcPr>
          <w:p w14:paraId="72922F05">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30799—2014</w:t>
            </w:r>
          </w:p>
        </w:tc>
      </w:tr>
      <w:tr w14:paraId="54387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59" w:type="pct"/>
            <w:tcBorders>
              <w:bottom w:val="single" w:color="auto" w:sz="4" w:space="0"/>
            </w:tcBorders>
            <w:noWrap w:val="0"/>
            <w:vAlign w:val="center"/>
          </w:tcPr>
          <w:p w14:paraId="7E7FEED4">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3</w:t>
            </w:r>
          </w:p>
        </w:tc>
        <w:tc>
          <w:tcPr>
            <w:tcW w:w="1653" w:type="pct"/>
            <w:tcBorders>
              <w:bottom w:val="single" w:color="auto" w:sz="4" w:space="0"/>
            </w:tcBorders>
            <w:noWrap w:val="0"/>
            <w:vAlign w:val="center"/>
          </w:tcPr>
          <w:p w14:paraId="0EEABFE5">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甲醇</w:t>
            </w:r>
          </w:p>
        </w:tc>
        <w:tc>
          <w:tcPr>
            <w:tcW w:w="2887" w:type="pct"/>
            <w:tcBorders>
              <w:bottom w:val="single" w:color="auto" w:sz="4" w:space="0"/>
            </w:tcBorders>
            <w:noWrap w:val="0"/>
            <w:vAlign w:val="center"/>
          </w:tcPr>
          <w:p w14:paraId="034E11A7">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30795—2014</w:t>
            </w:r>
          </w:p>
        </w:tc>
      </w:tr>
      <w:tr w14:paraId="56545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59" w:type="pct"/>
            <w:tcBorders>
              <w:top w:val="single" w:color="auto" w:sz="4" w:space="0"/>
              <w:left w:val="single" w:color="auto" w:sz="4" w:space="0"/>
              <w:bottom w:val="single" w:color="auto" w:sz="4" w:space="0"/>
              <w:right w:val="single" w:color="auto" w:sz="4" w:space="0"/>
            </w:tcBorders>
            <w:noWrap w:val="0"/>
            <w:vAlign w:val="center"/>
          </w:tcPr>
          <w:p w14:paraId="11449D9D">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4</w:t>
            </w:r>
          </w:p>
        </w:tc>
        <w:tc>
          <w:tcPr>
            <w:tcW w:w="1653" w:type="pct"/>
            <w:tcBorders>
              <w:top w:val="single" w:color="auto" w:sz="4" w:space="0"/>
              <w:left w:val="single" w:color="auto" w:sz="4" w:space="0"/>
              <w:bottom w:val="single" w:color="auto" w:sz="4" w:space="0"/>
              <w:right w:val="single" w:color="auto" w:sz="4" w:space="0"/>
            </w:tcBorders>
            <w:noWrap w:val="0"/>
            <w:vAlign w:val="center"/>
          </w:tcPr>
          <w:p w14:paraId="5DA82DA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甲醛</w:t>
            </w:r>
          </w:p>
        </w:tc>
        <w:tc>
          <w:tcPr>
            <w:tcW w:w="2887" w:type="pct"/>
            <w:tcBorders>
              <w:top w:val="single" w:color="auto" w:sz="4" w:space="0"/>
              <w:left w:val="single" w:color="auto" w:sz="4" w:space="0"/>
              <w:bottom w:val="single" w:color="auto" w:sz="4" w:space="0"/>
              <w:right w:val="single" w:color="auto" w:sz="4" w:space="0"/>
            </w:tcBorders>
            <w:noWrap w:val="0"/>
            <w:vAlign w:val="center"/>
          </w:tcPr>
          <w:p w14:paraId="7E0A3D03">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30796—2014</w:t>
            </w:r>
          </w:p>
        </w:tc>
      </w:tr>
      <w:tr w14:paraId="1ABEF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59" w:type="pct"/>
            <w:tcBorders>
              <w:top w:val="single" w:color="auto" w:sz="4" w:space="0"/>
              <w:left w:val="single" w:color="auto" w:sz="4" w:space="0"/>
              <w:bottom w:val="single" w:color="auto" w:sz="4" w:space="0"/>
              <w:right w:val="single" w:color="auto" w:sz="4" w:space="0"/>
            </w:tcBorders>
            <w:noWrap w:val="0"/>
            <w:vAlign w:val="center"/>
          </w:tcPr>
          <w:p w14:paraId="4D2AD69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5</w:t>
            </w:r>
          </w:p>
        </w:tc>
        <w:tc>
          <w:tcPr>
            <w:tcW w:w="1653" w:type="pct"/>
            <w:tcBorders>
              <w:top w:val="single" w:color="auto" w:sz="4" w:space="0"/>
              <w:left w:val="single" w:color="auto" w:sz="4" w:space="0"/>
              <w:bottom w:val="single" w:color="auto" w:sz="4" w:space="0"/>
              <w:right w:val="single" w:color="auto" w:sz="4" w:space="0"/>
            </w:tcBorders>
            <w:noWrap w:val="0"/>
            <w:vAlign w:val="center"/>
          </w:tcPr>
          <w:p w14:paraId="3299B6DB">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1,4-二噁烷</w:t>
            </w:r>
          </w:p>
        </w:tc>
        <w:tc>
          <w:tcPr>
            <w:tcW w:w="2887" w:type="pct"/>
            <w:tcBorders>
              <w:top w:val="single" w:color="auto" w:sz="4" w:space="0"/>
              <w:left w:val="single" w:color="auto" w:sz="4" w:space="0"/>
              <w:bottom w:val="single" w:color="auto" w:sz="4" w:space="0"/>
              <w:right w:val="single" w:color="auto" w:sz="4" w:space="0"/>
            </w:tcBorders>
            <w:noWrap w:val="0"/>
            <w:vAlign w:val="center"/>
          </w:tcPr>
          <w:p w14:paraId="57982D5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GB/T 26388—2011气相色谱—质谱（GC—MSD）法</w:t>
            </w:r>
          </w:p>
        </w:tc>
      </w:tr>
      <w:tr w14:paraId="730B1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459" w:type="pct"/>
            <w:tcBorders>
              <w:top w:val="single" w:color="auto" w:sz="4" w:space="0"/>
              <w:left w:val="single" w:color="auto" w:sz="4" w:space="0"/>
              <w:bottom w:val="single" w:color="auto" w:sz="4" w:space="0"/>
              <w:right w:val="single" w:color="auto" w:sz="4" w:space="0"/>
            </w:tcBorders>
            <w:noWrap w:val="0"/>
            <w:vAlign w:val="center"/>
          </w:tcPr>
          <w:p w14:paraId="759E560C">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6</w:t>
            </w:r>
          </w:p>
        </w:tc>
        <w:tc>
          <w:tcPr>
            <w:tcW w:w="1653" w:type="pct"/>
            <w:tcBorders>
              <w:top w:val="single" w:color="auto" w:sz="4" w:space="0"/>
              <w:left w:val="single" w:color="auto" w:sz="4" w:space="0"/>
              <w:bottom w:val="single" w:color="auto" w:sz="4" w:space="0"/>
              <w:right w:val="single" w:color="auto" w:sz="4" w:space="0"/>
            </w:tcBorders>
            <w:noWrap w:val="0"/>
            <w:vAlign w:val="center"/>
          </w:tcPr>
          <w:p w14:paraId="22BCCD5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菌落总数</w:t>
            </w:r>
          </w:p>
        </w:tc>
        <w:tc>
          <w:tcPr>
            <w:tcW w:w="2887" w:type="pct"/>
            <w:tcBorders>
              <w:top w:val="single" w:color="auto" w:sz="4" w:space="0"/>
              <w:left w:val="single" w:color="auto" w:sz="4" w:space="0"/>
              <w:bottom w:val="single" w:color="auto" w:sz="4" w:space="0"/>
              <w:right w:val="single" w:color="auto" w:sz="4" w:space="0"/>
            </w:tcBorders>
            <w:noWrap w:val="0"/>
            <w:vAlign w:val="center"/>
          </w:tcPr>
          <w:p w14:paraId="5F7ED631">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2CC75450">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4789.2—2022</w:t>
            </w:r>
          </w:p>
        </w:tc>
      </w:tr>
      <w:tr w14:paraId="1C344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459" w:type="pct"/>
            <w:tcBorders>
              <w:top w:val="single" w:color="auto" w:sz="4" w:space="0"/>
              <w:left w:val="single" w:color="auto" w:sz="4" w:space="0"/>
              <w:bottom w:val="single" w:color="auto" w:sz="4" w:space="0"/>
              <w:right w:val="single" w:color="auto" w:sz="4" w:space="0"/>
            </w:tcBorders>
            <w:noWrap w:val="0"/>
            <w:vAlign w:val="center"/>
          </w:tcPr>
          <w:p w14:paraId="17CB08BB">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7</w:t>
            </w:r>
          </w:p>
        </w:tc>
        <w:tc>
          <w:tcPr>
            <w:tcW w:w="1653" w:type="pct"/>
            <w:tcBorders>
              <w:top w:val="single" w:color="auto" w:sz="4" w:space="0"/>
              <w:left w:val="single" w:color="auto" w:sz="4" w:space="0"/>
              <w:bottom w:val="single" w:color="auto" w:sz="4" w:space="0"/>
              <w:right w:val="single" w:color="auto" w:sz="4" w:space="0"/>
            </w:tcBorders>
            <w:noWrap w:val="0"/>
            <w:vAlign w:val="center"/>
          </w:tcPr>
          <w:p w14:paraId="0596452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大肠菌群</w:t>
            </w:r>
          </w:p>
        </w:tc>
        <w:tc>
          <w:tcPr>
            <w:tcW w:w="2887" w:type="pct"/>
            <w:tcBorders>
              <w:top w:val="single" w:color="auto" w:sz="4" w:space="0"/>
              <w:left w:val="single" w:color="auto" w:sz="4" w:space="0"/>
              <w:bottom w:val="single" w:color="auto" w:sz="4" w:space="0"/>
              <w:right w:val="single" w:color="auto" w:sz="4" w:space="0"/>
            </w:tcBorders>
            <w:noWrap w:val="0"/>
            <w:vAlign w:val="center"/>
          </w:tcPr>
          <w:p w14:paraId="4ABE962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14930.1—2022</w:t>
            </w:r>
          </w:p>
          <w:p w14:paraId="1714B28E">
            <w:pPr>
              <w:adjustRightInd w:val="0"/>
              <w:snapToGrid w:val="0"/>
              <w:jc w:val="center"/>
              <w:rPr>
                <w:rFonts w:hint="default" w:ascii="Times New Roman" w:hAnsi="Times New Roman" w:cs="Times New Roman"/>
                <w:color w:val="0C0C0C"/>
                <w:szCs w:val="21"/>
              </w:rPr>
            </w:pPr>
            <w:r>
              <w:rPr>
                <w:rFonts w:hint="default" w:ascii="Times New Roman" w:hAnsi="Times New Roman" w:cs="Times New Roman"/>
                <w:color w:val="0C0C0C"/>
                <w:szCs w:val="21"/>
              </w:rPr>
              <w:t>GB 4789.3—2016大肠菌群平板计数法</w:t>
            </w:r>
          </w:p>
        </w:tc>
      </w:tr>
    </w:tbl>
    <w:p w14:paraId="5AA44279">
      <w:pPr>
        <w:adjustRightInd w:val="0"/>
        <w:snapToGrid w:val="0"/>
        <w:spacing w:line="440" w:lineRule="exact"/>
        <w:ind w:firstLine="420" w:firstLineChars="200"/>
        <w:rPr>
          <w:rFonts w:hint="default" w:ascii="Times New Roman" w:hAnsi="Times New Roman" w:cs="Times New Roman"/>
          <w:color w:val="0C0C0C"/>
          <w:szCs w:val="21"/>
        </w:rPr>
      </w:pPr>
      <w:r>
        <w:rPr>
          <w:rFonts w:hint="default" w:ascii="Times New Roman" w:hAnsi="Times New Roman" w:cs="Times New Roman"/>
          <w:color w:val="0C0C0C"/>
          <w:szCs w:val="21"/>
        </w:rPr>
        <w:t>执行企业标准、团体标准、地方标准的产品，检验项目参照上述内容执行。</w:t>
      </w:r>
    </w:p>
    <w:p w14:paraId="5A8BBE50">
      <w:pPr>
        <w:snapToGrid w:val="0"/>
        <w:spacing w:line="440" w:lineRule="exact"/>
        <w:ind w:firstLine="359" w:firstLineChars="171"/>
        <w:rPr>
          <w:rFonts w:hint="default" w:ascii="Times New Roman" w:hAnsi="Times New Roman" w:cs="Times New Roman"/>
          <w:color w:val="0C0C0C"/>
          <w:szCs w:val="21"/>
        </w:rPr>
      </w:pPr>
      <w:r>
        <w:rPr>
          <w:rFonts w:hint="default" w:ascii="Times New Roman" w:hAnsi="Times New Roman" w:cs="Times New Roman"/>
          <w:color w:val="0C0C0C"/>
          <w:szCs w:val="21"/>
        </w:rPr>
        <w:t>凡是注日期的文件，其随后所有的修改单（不包括勘误的内容）或修订版不适用于本细则。凡是不注日期的文件，其最新版本适用于本细则。</w:t>
      </w:r>
    </w:p>
    <w:p w14:paraId="4A51EFD9">
      <w:pPr>
        <w:snapToGrid w:val="0"/>
        <w:spacing w:line="440" w:lineRule="exact"/>
        <w:ind w:firstLine="359" w:firstLineChars="171"/>
        <w:rPr>
          <w:rFonts w:hint="default" w:ascii="Times New Roman" w:hAnsi="Times New Roman" w:cs="Times New Roman"/>
          <w:color w:val="0C0C0C"/>
          <w:szCs w:val="21"/>
        </w:rPr>
      </w:pPr>
    </w:p>
    <w:p w14:paraId="252DA3D4">
      <w:pPr>
        <w:spacing w:line="360" w:lineRule="auto"/>
        <w:rPr>
          <w:rFonts w:eastAsia="黑体"/>
          <w:color w:val="000000"/>
          <w:szCs w:val="21"/>
        </w:rPr>
      </w:pPr>
      <w:r>
        <w:rPr>
          <w:rFonts w:eastAsia="黑体"/>
          <w:color w:val="000000"/>
          <w:szCs w:val="21"/>
        </w:rPr>
        <w:t>3 判定规则</w:t>
      </w:r>
    </w:p>
    <w:p w14:paraId="23BA8A08">
      <w:pPr>
        <w:snapToGrid w:val="0"/>
        <w:spacing w:line="440" w:lineRule="exact"/>
        <w:rPr>
          <w:color w:val="000000"/>
          <w:szCs w:val="21"/>
        </w:rPr>
      </w:pPr>
      <w:r>
        <w:rPr>
          <w:color w:val="000000"/>
          <w:szCs w:val="21"/>
        </w:rPr>
        <w:t>3.1依据标准</w:t>
      </w:r>
    </w:p>
    <w:p w14:paraId="4A0D0BB3">
      <w:pPr>
        <w:snapToGrid w:val="0"/>
        <w:spacing w:line="440" w:lineRule="exact"/>
        <w:ind w:firstLine="420" w:firstLineChars="200"/>
        <w:rPr>
          <w:rFonts w:hint="default" w:ascii="Times New Roman" w:hAnsi="Times New Roman" w:cs="Times New Roman"/>
          <w:color w:val="0C0C0C"/>
          <w:szCs w:val="21"/>
        </w:rPr>
      </w:pPr>
      <w:r>
        <w:rPr>
          <w:rFonts w:hint="default" w:ascii="Times New Roman" w:hAnsi="Times New Roman" w:cs="Times New Roman"/>
          <w:color w:val="0C0C0C"/>
          <w:szCs w:val="21"/>
        </w:rPr>
        <w:t>GB 14930.1—2022 食品安全国家标准洗涤剂</w:t>
      </w:r>
    </w:p>
    <w:p w14:paraId="1B7703A5">
      <w:pPr>
        <w:tabs>
          <w:tab w:val="left" w:pos="3812"/>
        </w:tabs>
        <w:snapToGrid w:val="0"/>
        <w:spacing w:line="440" w:lineRule="exact"/>
        <w:ind w:firstLine="420" w:firstLineChars="200"/>
        <w:rPr>
          <w:rFonts w:hint="default" w:ascii="Times New Roman" w:hAnsi="Times New Roman" w:cs="Times New Roman"/>
          <w:color w:val="0C0C0C"/>
          <w:szCs w:val="21"/>
        </w:rPr>
      </w:pPr>
      <w:r>
        <w:rPr>
          <w:rFonts w:hint="default" w:ascii="Times New Roman" w:hAnsi="Times New Roman" w:cs="Times New Roman"/>
          <w:color w:val="0C0C0C"/>
          <w:szCs w:val="21"/>
        </w:rPr>
        <w:t>GB/T 9985—2000 手洗餐具用洗涤剂</w:t>
      </w:r>
    </w:p>
    <w:p w14:paraId="2F5A1C4B">
      <w:pPr>
        <w:tabs>
          <w:tab w:val="left" w:pos="3812"/>
        </w:tabs>
        <w:snapToGrid w:val="0"/>
        <w:spacing w:line="440" w:lineRule="exact"/>
        <w:ind w:firstLine="420" w:firstLineChars="200"/>
        <w:rPr>
          <w:rFonts w:hint="default" w:ascii="Times New Roman" w:hAnsi="Times New Roman" w:cs="Times New Roman"/>
          <w:color w:val="0C0C0C"/>
          <w:szCs w:val="21"/>
        </w:rPr>
      </w:pPr>
      <w:r>
        <w:rPr>
          <w:rFonts w:hint="default" w:ascii="Times New Roman" w:hAnsi="Times New Roman" w:cs="Times New Roman"/>
          <w:color w:val="0C0C0C"/>
          <w:szCs w:val="21"/>
        </w:rPr>
        <w:t>GB/T 9985—2022 手洗餐具用洗涤剂</w:t>
      </w:r>
    </w:p>
    <w:p w14:paraId="595BE95B">
      <w:pPr>
        <w:snapToGrid w:val="0"/>
        <w:spacing w:line="440" w:lineRule="exact"/>
        <w:ind w:firstLine="420" w:firstLineChars="200"/>
        <w:rPr>
          <w:rFonts w:hint="default" w:ascii="Times New Roman" w:hAnsi="Times New Roman" w:cs="Times New Roman"/>
          <w:color w:val="0C0C0C"/>
          <w:szCs w:val="21"/>
        </w:rPr>
      </w:pPr>
      <w:r>
        <w:rPr>
          <w:rFonts w:hint="default" w:ascii="Times New Roman" w:hAnsi="Times New Roman" w:cs="Times New Roman"/>
          <w:color w:val="0C0C0C"/>
          <w:szCs w:val="21"/>
        </w:rPr>
        <w:t>GB/T 24691—2022 果蔬清洗剂</w:t>
      </w:r>
    </w:p>
    <w:p w14:paraId="4D831307">
      <w:pPr>
        <w:snapToGrid w:val="0"/>
        <w:spacing w:line="440" w:lineRule="exact"/>
        <w:ind w:firstLine="420" w:firstLineChars="200"/>
        <w:rPr>
          <w:rFonts w:hint="default" w:ascii="Times New Roman" w:hAnsi="Times New Roman" w:cs="Times New Roman"/>
          <w:color w:val="0C0C0C"/>
          <w:szCs w:val="21"/>
        </w:rPr>
      </w:pPr>
      <w:r>
        <w:rPr>
          <w:rFonts w:hint="default" w:ascii="Times New Roman" w:hAnsi="Times New Roman" w:cs="Times New Roman"/>
          <w:color w:val="0C0C0C"/>
          <w:szCs w:val="21"/>
        </w:rPr>
        <w:t>QB/T 2967—2023 饮料用瓶清洗剂</w:t>
      </w:r>
    </w:p>
    <w:p w14:paraId="622AECA8">
      <w:pPr>
        <w:snapToGrid w:val="0"/>
        <w:spacing w:line="440" w:lineRule="exact"/>
        <w:ind w:firstLine="420" w:firstLineChars="200"/>
        <w:rPr>
          <w:rFonts w:hint="default" w:ascii="Times New Roman" w:hAnsi="Times New Roman" w:cs="Times New Roman"/>
          <w:color w:val="0C0C0C"/>
          <w:szCs w:val="21"/>
        </w:rPr>
      </w:pPr>
      <w:r>
        <w:rPr>
          <w:rFonts w:hint="default" w:ascii="Times New Roman" w:hAnsi="Times New Roman" w:cs="Times New Roman"/>
          <w:color w:val="0C0C0C"/>
          <w:szCs w:val="21"/>
        </w:rPr>
        <w:t>QB/T 4313—2023 食品工具和工业设备用酸性清洗剂</w:t>
      </w:r>
    </w:p>
    <w:p w14:paraId="4BBCFF56">
      <w:pPr>
        <w:snapToGrid w:val="0"/>
        <w:spacing w:line="440" w:lineRule="exact"/>
        <w:ind w:firstLine="420" w:firstLineChars="200"/>
        <w:rPr>
          <w:rFonts w:hint="default" w:ascii="Times New Roman" w:hAnsi="Times New Roman" w:cs="Times New Roman"/>
          <w:color w:val="0C0C0C"/>
          <w:szCs w:val="21"/>
        </w:rPr>
      </w:pPr>
      <w:r>
        <w:rPr>
          <w:rFonts w:hint="default" w:ascii="Times New Roman" w:hAnsi="Times New Roman" w:cs="Times New Roman"/>
          <w:color w:val="0C0C0C"/>
          <w:szCs w:val="21"/>
        </w:rPr>
        <w:t>QB/T 4314—2023食品工具和工业设备用碱性清洗剂</w:t>
      </w:r>
    </w:p>
    <w:p w14:paraId="41BF95B0">
      <w:pPr>
        <w:snapToGrid w:val="0"/>
        <w:spacing w:line="440" w:lineRule="exact"/>
        <w:ind w:firstLine="359" w:firstLineChars="171"/>
        <w:rPr>
          <w:color w:val="000000"/>
          <w:szCs w:val="21"/>
        </w:rPr>
      </w:pPr>
      <w:r>
        <w:rPr>
          <w:color w:val="000000"/>
          <w:szCs w:val="21"/>
        </w:rPr>
        <w:t>现行有效的企业标准、团体标准、地方标准及产品明示质量要求</w:t>
      </w:r>
    </w:p>
    <w:p w14:paraId="5E5787C6">
      <w:pPr>
        <w:snapToGrid w:val="0"/>
        <w:spacing w:line="440" w:lineRule="exact"/>
        <w:rPr>
          <w:color w:val="000000"/>
          <w:szCs w:val="21"/>
        </w:rPr>
      </w:pPr>
      <w:r>
        <w:rPr>
          <w:color w:val="000000"/>
          <w:szCs w:val="21"/>
        </w:rPr>
        <w:t>3.2判定原则</w:t>
      </w:r>
    </w:p>
    <w:p w14:paraId="4D908061">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30452DF9">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102C7CD3">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24F70D05">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174EADD5">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200F35B9">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50C7F3F1">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依据GB 4789.1</w:t>
      </w:r>
      <w:r>
        <w:rPr>
          <w:rFonts w:hint="eastAsia"/>
          <w:color w:val="000000"/>
          <w:szCs w:val="21"/>
        </w:rPr>
        <w:t>-</w:t>
      </w:r>
      <w:r>
        <w:rPr>
          <w:color w:val="000000"/>
          <w:szCs w:val="21"/>
        </w:rPr>
        <w:t>2016 《食品安全国家标准 食品微生物学检验 总则》第7.3条规定</w:t>
      </w:r>
      <w:r>
        <w:rPr>
          <w:rFonts w:hint="eastAsia"/>
          <w:color w:val="000000"/>
          <w:szCs w:val="21"/>
        </w:rPr>
        <w:t>“</w:t>
      </w:r>
      <w:r>
        <w:rPr>
          <w:color w:val="000000"/>
          <w:szCs w:val="21"/>
        </w:rPr>
        <w:t>检验结果报告后，剩余样品和同批产品不进行微生物项目的复检</w:t>
      </w:r>
      <w:r>
        <w:rPr>
          <w:rFonts w:hint="eastAsia"/>
          <w:color w:val="000000"/>
          <w:szCs w:val="21"/>
        </w:rPr>
        <w:t>”</w:t>
      </w:r>
      <w:r>
        <w:rPr>
          <w:color w:val="000000"/>
          <w:szCs w:val="21"/>
        </w:rPr>
        <w:t>，微生物指标不合格不进行复检。</w:t>
      </w:r>
    </w:p>
    <w:p w14:paraId="5D395AA1">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bookmarkStart w:id="3" w:name="_GoBack"/>
      <w:bookmarkEnd w:id="3"/>
    </w:p>
    <w:p w14:paraId="49887732">
      <w:pPr>
        <w:pStyle w:val="14"/>
        <w:keepNext w:val="0"/>
        <w:keepLines w:val="0"/>
        <w:pageBreakBefore w:val="0"/>
        <w:widowControl w:val="0"/>
        <w:kinsoku/>
        <w:wordWrap/>
        <w:overflowPunct/>
        <w:topLinePunct w:val="0"/>
        <w:bidi w:val="0"/>
        <w:spacing w:before="156" w:after="156"/>
        <w:textAlignment w:val="auto"/>
        <w:rPr>
          <w:rFonts w:hint="eastAsia"/>
          <w:sz w:val="21"/>
          <w:szCs w:val="21"/>
          <w:lang w:val="en-US" w:eastAsia="zh-CN"/>
        </w:rPr>
      </w:pPr>
      <w:r>
        <w:rPr>
          <w:rFonts w:hint="eastAsia"/>
          <w:sz w:val="21"/>
          <w:szCs w:val="21"/>
          <w:lang w:val="en-US" w:eastAsia="zh-CN"/>
        </w:rPr>
        <w:t>4</w:t>
      </w:r>
      <w:r>
        <w:rPr>
          <w:rFonts w:eastAsia="黑体"/>
          <w:sz w:val="21"/>
          <w:szCs w:val="21"/>
        </w:rPr>
        <w:t xml:space="preserve"> </w:t>
      </w:r>
      <w:r>
        <w:rPr>
          <w:rFonts w:hint="eastAsia"/>
          <w:sz w:val="21"/>
          <w:szCs w:val="21"/>
          <w:lang w:val="en-US" w:eastAsia="zh-CN"/>
        </w:rPr>
        <w:t>附则</w:t>
      </w:r>
    </w:p>
    <w:p w14:paraId="62241AF7">
      <w:pPr>
        <w:snapToGrid w:val="0"/>
        <w:spacing w:line="440" w:lineRule="exact"/>
        <w:ind w:firstLine="420" w:firstLineChars="200"/>
        <w:rPr>
          <w:rFonts w:hint="default"/>
          <w:color w:val="000000"/>
          <w:szCs w:val="21"/>
          <w:lang w:val="en-US" w:eastAsia="zh-CN"/>
        </w:rPr>
      </w:pPr>
      <w:r>
        <w:rPr>
          <w:rFonts w:hint="eastAsia"/>
          <w:color w:val="000000"/>
          <w:szCs w:val="21"/>
          <w:lang w:val="en-US" w:eastAsia="zh-CN"/>
        </w:rPr>
        <w:t xml:space="preserve"> 本细则代替西藏自治区市场监督管理局关于发布《产品质量监督抽査实施细则(2024版)》(第一批)的通告中的《西藏自治区餐具洗涤剂产品质量监督抽查实施细则(2024版)》。</w:t>
      </w:r>
    </w:p>
    <w:p w14:paraId="25141B9A">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87DB3">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4B2A2ADF">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D25C4">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24FFC404">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4DEC8">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3NGNiMGUyYzMxM2ZmNjk4NGQyMGVkNmUyYTI1MjYifQ=="/>
    <w:docVar w:name="KSO_WPS_MARK_KEY" w:val="d4dc90af-3820-4b05-9531-fea1f02b3b20"/>
  </w:docVars>
  <w:rsids>
    <w:rsidRoot w:val="00172A27"/>
    <w:rsid w:val="00010BFF"/>
    <w:rsid w:val="0002012A"/>
    <w:rsid w:val="00051A44"/>
    <w:rsid w:val="0006594B"/>
    <w:rsid w:val="00077DED"/>
    <w:rsid w:val="00077E5C"/>
    <w:rsid w:val="00081CBD"/>
    <w:rsid w:val="00084634"/>
    <w:rsid w:val="00093453"/>
    <w:rsid w:val="000976DE"/>
    <w:rsid w:val="000E497D"/>
    <w:rsid w:val="000E49F8"/>
    <w:rsid w:val="000F5226"/>
    <w:rsid w:val="000F7C16"/>
    <w:rsid w:val="00100B50"/>
    <w:rsid w:val="00105FEA"/>
    <w:rsid w:val="001159CD"/>
    <w:rsid w:val="00120C9C"/>
    <w:rsid w:val="001216D4"/>
    <w:rsid w:val="0013028E"/>
    <w:rsid w:val="00133DB1"/>
    <w:rsid w:val="0015070F"/>
    <w:rsid w:val="00172A27"/>
    <w:rsid w:val="001809DD"/>
    <w:rsid w:val="001D5CEF"/>
    <w:rsid w:val="001D6739"/>
    <w:rsid w:val="001E2570"/>
    <w:rsid w:val="001E4523"/>
    <w:rsid w:val="001F23C9"/>
    <w:rsid w:val="001F4FC1"/>
    <w:rsid w:val="0021099B"/>
    <w:rsid w:val="00210CAB"/>
    <w:rsid w:val="002216DC"/>
    <w:rsid w:val="0023519E"/>
    <w:rsid w:val="00243F97"/>
    <w:rsid w:val="00253624"/>
    <w:rsid w:val="00283A5A"/>
    <w:rsid w:val="0028631C"/>
    <w:rsid w:val="002C715B"/>
    <w:rsid w:val="002D0DD0"/>
    <w:rsid w:val="002D44A4"/>
    <w:rsid w:val="002D7441"/>
    <w:rsid w:val="002D7F8A"/>
    <w:rsid w:val="002E0D1D"/>
    <w:rsid w:val="002E21D0"/>
    <w:rsid w:val="003041D3"/>
    <w:rsid w:val="00314654"/>
    <w:rsid w:val="003203A3"/>
    <w:rsid w:val="003254D6"/>
    <w:rsid w:val="0033643C"/>
    <w:rsid w:val="003527BA"/>
    <w:rsid w:val="003736FD"/>
    <w:rsid w:val="00380689"/>
    <w:rsid w:val="003A2B65"/>
    <w:rsid w:val="003B6C91"/>
    <w:rsid w:val="003C0637"/>
    <w:rsid w:val="003C1705"/>
    <w:rsid w:val="003C210C"/>
    <w:rsid w:val="003C388C"/>
    <w:rsid w:val="003C3C74"/>
    <w:rsid w:val="003E61BF"/>
    <w:rsid w:val="00404ED1"/>
    <w:rsid w:val="00407310"/>
    <w:rsid w:val="00411B89"/>
    <w:rsid w:val="00441637"/>
    <w:rsid w:val="00442162"/>
    <w:rsid w:val="00443505"/>
    <w:rsid w:val="00445E86"/>
    <w:rsid w:val="00474E04"/>
    <w:rsid w:val="004A49AE"/>
    <w:rsid w:val="004A49FE"/>
    <w:rsid w:val="004B29A6"/>
    <w:rsid w:val="004D0C5A"/>
    <w:rsid w:val="004D20AF"/>
    <w:rsid w:val="004E00B8"/>
    <w:rsid w:val="004E1396"/>
    <w:rsid w:val="004F72B4"/>
    <w:rsid w:val="00520D97"/>
    <w:rsid w:val="00522E8C"/>
    <w:rsid w:val="0052324F"/>
    <w:rsid w:val="00557CC2"/>
    <w:rsid w:val="00557E4C"/>
    <w:rsid w:val="00563EBC"/>
    <w:rsid w:val="00592F05"/>
    <w:rsid w:val="005A511C"/>
    <w:rsid w:val="005A7E01"/>
    <w:rsid w:val="005B51E3"/>
    <w:rsid w:val="005D6F1E"/>
    <w:rsid w:val="005E51E9"/>
    <w:rsid w:val="005E5702"/>
    <w:rsid w:val="005F6E13"/>
    <w:rsid w:val="00604576"/>
    <w:rsid w:val="00616424"/>
    <w:rsid w:val="00617C9E"/>
    <w:rsid w:val="00631634"/>
    <w:rsid w:val="0063505C"/>
    <w:rsid w:val="006361EA"/>
    <w:rsid w:val="0065079E"/>
    <w:rsid w:val="006657F4"/>
    <w:rsid w:val="00676490"/>
    <w:rsid w:val="00690888"/>
    <w:rsid w:val="006A2F17"/>
    <w:rsid w:val="006B2100"/>
    <w:rsid w:val="006C1681"/>
    <w:rsid w:val="006D1E9D"/>
    <w:rsid w:val="006F0971"/>
    <w:rsid w:val="00702D69"/>
    <w:rsid w:val="0072334C"/>
    <w:rsid w:val="0074263C"/>
    <w:rsid w:val="007736DD"/>
    <w:rsid w:val="00775779"/>
    <w:rsid w:val="00791E38"/>
    <w:rsid w:val="007B0C7A"/>
    <w:rsid w:val="007D0B5A"/>
    <w:rsid w:val="00801D2C"/>
    <w:rsid w:val="008136E9"/>
    <w:rsid w:val="00843F0F"/>
    <w:rsid w:val="008862EA"/>
    <w:rsid w:val="00895BEA"/>
    <w:rsid w:val="008A3497"/>
    <w:rsid w:val="008A6CE3"/>
    <w:rsid w:val="008A7D31"/>
    <w:rsid w:val="008B2495"/>
    <w:rsid w:val="008D7D0A"/>
    <w:rsid w:val="00906D2B"/>
    <w:rsid w:val="0091761C"/>
    <w:rsid w:val="00917A54"/>
    <w:rsid w:val="009234A3"/>
    <w:rsid w:val="00932064"/>
    <w:rsid w:val="00943DD1"/>
    <w:rsid w:val="00955000"/>
    <w:rsid w:val="00962771"/>
    <w:rsid w:val="00983BE0"/>
    <w:rsid w:val="00994FD5"/>
    <w:rsid w:val="009C3D96"/>
    <w:rsid w:val="009D5C0D"/>
    <w:rsid w:val="00A05741"/>
    <w:rsid w:val="00A1381A"/>
    <w:rsid w:val="00A2180C"/>
    <w:rsid w:val="00A43553"/>
    <w:rsid w:val="00A606CE"/>
    <w:rsid w:val="00A969C7"/>
    <w:rsid w:val="00AA65D8"/>
    <w:rsid w:val="00AC30B2"/>
    <w:rsid w:val="00AD62EE"/>
    <w:rsid w:val="00B03346"/>
    <w:rsid w:val="00B1139A"/>
    <w:rsid w:val="00B160C9"/>
    <w:rsid w:val="00B364A0"/>
    <w:rsid w:val="00B5796C"/>
    <w:rsid w:val="00B61DB5"/>
    <w:rsid w:val="00B739EE"/>
    <w:rsid w:val="00B752D8"/>
    <w:rsid w:val="00B76430"/>
    <w:rsid w:val="00B8723C"/>
    <w:rsid w:val="00BA24F7"/>
    <w:rsid w:val="00BB7B19"/>
    <w:rsid w:val="00BE3B8C"/>
    <w:rsid w:val="00C10B51"/>
    <w:rsid w:val="00C26074"/>
    <w:rsid w:val="00C5744D"/>
    <w:rsid w:val="00C67BD2"/>
    <w:rsid w:val="00C7215F"/>
    <w:rsid w:val="00C80957"/>
    <w:rsid w:val="00C83B0A"/>
    <w:rsid w:val="00C91BEB"/>
    <w:rsid w:val="00C92747"/>
    <w:rsid w:val="00C9637F"/>
    <w:rsid w:val="00CA760B"/>
    <w:rsid w:val="00CC1494"/>
    <w:rsid w:val="00CE1E0C"/>
    <w:rsid w:val="00CE277E"/>
    <w:rsid w:val="00D15BE3"/>
    <w:rsid w:val="00D215A2"/>
    <w:rsid w:val="00D2351B"/>
    <w:rsid w:val="00D36889"/>
    <w:rsid w:val="00D56867"/>
    <w:rsid w:val="00D6370D"/>
    <w:rsid w:val="00D65E1F"/>
    <w:rsid w:val="00D70F7F"/>
    <w:rsid w:val="00D77429"/>
    <w:rsid w:val="00D86ADF"/>
    <w:rsid w:val="00DA663E"/>
    <w:rsid w:val="00DD4889"/>
    <w:rsid w:val="00DE7878"/>
    <w:rsid w:val="00E02A7F"/>
    <w:rsid w:val="00E07880"/>
    <w:rsid w:val="00E2187F"/>
    <w:rsid w:val="00E25998"/>
    <w:rsid w:val="00E31EEE"/>
    <w:rsid w:val="00E47EBA"/>
    <w:rsid w:val="00E54137"/>
    <w:rsid w:val="00E82621"/>
    <w:rsid w:val="00E85B7F"/>
    <w:rsid w:val="00E930E9"/>
    <w:rsid w:val="00E9421B"/>
    <w:rsid w:val="00ED0962"/>
    <w:rsid w:val="00EF24BF"/>
    <w:rsid w:val="00F0078F"/>
    <w:rsid w:val="00F1346C"/>
    <w:rsid w:val="00F50071"/>
    <w:rsid w:val="00F776C6"/>
    <w:rsid w:val="00F77C9A"/>
    <w:rsid w:val="00F81570"/>
    <w:rsid w:val="00F87443"/>
    <w:rsid w:val="00FB576C"/>
    <w:rsid w:val="00FD2AA6"/>
    <w:rsid w:val="00FE7E8A"/>
    <w:rsid w:val="00FF68B3"/>
    <w:rsid w:val="01B80B7A"/>
    <w:rsid w:val="02E244CB"/>
    <w:rsid w:val="030559FB"/>
    <w:rsid w:val="03FE7EAB"/>
    <w:rsid w:val="06141C07"/>
    <w:rsid w:val="061D5992"/>
    <w:rsid w:val="073B1452"/>
    <w:rsid w:val="07832BA1"/>
    <w:rsid w:val="082D6FB0"/>
    <w:rsid w:val="085B1D6F"/>
    <w:rsid w:val="08844E22"/>
    <w:rsid w:val="08E72291"/>
    <w:rsid w:val="099F5C8C"/>
    <w:rsid w:val="0A1E73F4"/>
    <w:rsid w:val="0DF3198E"/>
    <w:rsid w:val="0E0E518E"/>
    <w:rsid w:val="1030763E"/>
    <w:rsid w:val="10965AC6"/>
    <w:rsid w:val="1140560A"/>
    <w:rsid w:val="11877827"/>
    <w:rsid w:val="12307DC9"/>
    <w:rsid w:val="124D62E4"/>
    <w:rsid w:val="12B74046"/>
    <w:rsid w:val="12E110C3"/>
    <w:rsid w:val="13E175CD"/>
    <w:rsid w:val="14F670A8"/>
    <w:rsid w:val="1577438A"/>
    <w:rsid w:val="15787ABD"/>
    <w:rsid w:val="158E72E0"/>
    <w:rsid w:val="193E0CBA"/>
    <w:rsid w:val="194B54E8"/>
    <w:rsid w:val="1A1670E6"/>
    <w:rsid w:val="1A5E598D"/>
    <w:rsid w:val="1AE216BB"/>
    <w:rsid w:val="1AFD319C"/>
    <w:rsid w:val="1B6603B7"/>
    <w:rsid w:val="1CCD70D0"/>
    <w:rsid w:val="1CDE7230"/>
    <w:rsid w:val="1D4E1BDE"/>
    <w:rsid w:val="1E297B4D"/>
    <w:rsid w:val="1EB17AB5"/>
    <w:rsid w:val="1ED61AE4"/>
    <w:rsid w:val="1F49071C"/>
    <w:rsid w:val="1F721A21"/>
    <w:rsid w:val="1FB65DB1"/>
    <w:rsid w:val="1FC81641"/>
    <w:rsid w:val="1FD9384E"/>
    <w:rsid w:val="209F03B3"/>
    <w:rsid w:val="20FD71B1"/>
    <w:rsid w:val="211D59BC"/>
    <w:rsid w:val="221548E5"/>
    <w:rsid w:val="221C3EC6"/>
    <w:rsid w:val="22CE3412"/>
    <w:rsid w:val="22D8603F"/>
    <w:rsid w:val="231D7EF5"/>
    <w:rsid w:val="234E72B5"/>
    <w:rsid w:val="23921209"/>
    <w:rsid w:val="23B15503"/>
    <w:rsid w:val="24241890"/>
    <w:rsid w:val="24264B88"/>
    <w:rsid w:val="24CD14A7"/>
    <w:rsid w:val="24D740D4"/>
    <w:rsid w:val="267918E7"/>
    <w:rsid w:val="26962499"/>
    <w:rsid w:val="27A74232"/>
    <w:rsid w:val="28041950"/>
    <w:rsid w:val="29312005"/>
    <w:rsid w:val="29E259F5"/>
    <w:rsid w:val="2A353D77"/>
    <w:rsid w:val="2AC717C5"/>
    <w:rsid w:val="2C250022"/>
    <w:rsid w:val="2CD930DF"/>
    <w:rsid w:val="2D0B213D"/>
    <w:rsid w:val="2D8B2B22"/>
    <w:rsid w:val="2E9F5C62"/>
    <w:rsid w:val="2EE1627B"/>
    <w:rsid w:val="2F503401"/>
    <w:rsid w:val="2F9037FD"/>
    <w:rsid w:val="2FFA2612"/>
    <w:rsid w:val="3150593A"/>
    <w:rsid w:val="31BE28A4"/>
    <w:rsid w:val="31D24110"/>
    <w:rsid w:val="3202689B"/>
    <w:rsid w:val="320D1173"/>
    <w:rsid w:val="3293788C"/>
    <w:rsid w:val="34873A5C"/>
    <w:rsid w:val="35BC534C"/>
    <w:rsid w:val="363475D8"/>
    <w:rsid w:val="36F823B4"/>
    <w:rsid w:val="371511B8"/>
    <w:rsid w:val="37FA1879"/>
    <w:rsid w:val="382C3278"/>
    <w:rsid w:val="383E69E7"/>
    <w:rsid w:val="388163D9"/>
    <w:rsid w:val="38BE13DB"/>
    <w:rsid w:val="3AF64E5C"/>
    <w:rsid w:val="3B7E6C11"/>
    <w:rsid w:val="3B8E367D"/>
    <w:rsid w:val="3B8E778B"/>
    <w:rsid w:val="3BB05953"/>
    <w:rsid w:val="3BF46386"/>
    <w:rsid w:val="3C090BBF"/>
    <w:rsid w:val="3CF7075F"/>
    <w:rsid w:val="3D7B02C4"/>
    <w:rsid w:val="3DA908AC"/>
    <w:rsid w:val="3DBF00CF"/>
    <w:rsid w:val="3DFF227A"/>
    <w:rsid w:val="3E5D51F2"/>
    <w:rsid w:val="3EA13331"/>
    <w:rsid w:val="3F32667F"/>
    <w:rsid w:val="40DC4AF4"/>
    <w:rsid w:val="41474664"/>
    <w:rsid w:val="417B430D"/>
    <w:rsid w:val="418F3021"/>
    <w:rsid w:val="41F06AA9"/>
    <w:rsid w:val="41F83BB0"/>
    <w:rsid w:val="423F533B"/>
    <w:rsid w:val="42457934"/>
    <w:rsid w:val="443C13EE"/>
    <w:rsid w:val="44B30262"/>
    <w:rsid w:val="44DA134B"/>
    <w:rsid w:val="44FC1ACF"/>
    <w:rsid w:val="456357E4"/>
    <w:rsid w:val="4585575A"/>
    <w:rsid w:val="45BE0C6C"/>
    <w:rsid w:val="465D7F9F"/>
    <w:rsid w:val="46D83FB0"/>
    <w:rsid w:val="474B6530"/>
    <w:rsid w:val="475E44B5"/>
    <w:rsid w:val="48593863"/>
    <w:rsid w:val="48C400DF"/>
    <w:rsid w:val="493113C1"/>
    <w:rsid w:val="496D4E83"/>
    <w:rsid w:val="499F7616"/>
    <w:rsid w:val="49B26D3A"/>
    <w:rsid w:val="49C03205"/>
    <w:rsid w:val="49D547D7"/>
    <w:rsid w:val="4B0B4B1B"/>
    <w:rsid w:val="4B2C6678"/>
    <w:rsid w:val="4DA66BE1"/>
    <w:rsid w:val="4DB841F3"/>
    <w:rsid w:val="4E404914"/>
    <w:rsid w:val="4E465E03"/>
    <w:rsid w:val="50047BC4"/>
    <w:rsid w:val="50334005"/>
    <w:rsid w:val="505E421B"/>
    <w:rsid w:val="50FA7E11"/>
    <w:rsid w:val="515D758B"/>
    <w:rsid w:val="517448D5"/>
    <w:rsid w:val="52205134"/>
    <w:rsid w:val="52666914"/>
    <w:rsid w:val="5279512E"/>
    <w:rsid w:val="528C7C8F"/>
    <w:rsid w:val="529E42FF"/>
    <w:rsid w:val="52EB0BC7"/>
    <w:rsid w:val="548D005E"/>
    <w:rsid w:val="549A4653"/>
    <w:rsid w:val="554A6079"/>
    <w:rsid w:val="578153D9"/>
    <w:rsid w:val="57E9601D"/>
    <w:rsid w:val="58350A83"/>
    <w:rsid w:val="58EF1411"/>
    <w:rsid w:val="58EF652E"/>
    <w:rsid w:val="5A043D5B"/>
    <w:rsid w:val="5A056A12"/>
    <w:rsid w:val="5A2677D6"/>
    <w:rsid w:val="5AAB580B"/>
    <w:rsid w:val="5B124BBD"/>
    <w:rsid w:val="5BEA4111"/>
    <w:rsid w:val="5C50253A"/>
    <w:rsid w:val="5D071DDC"/>
    <w:rsid w:val="5DEA664B"/>
    <w:rsid w:val="5EEE3F19"/>
    <w:rsid w:val="5F377E07"/>
    <w:rsid w:val="5F5A0C98"/>
    <w:rsid w:val="60464805"/>
    <w:rsid w:val="6071095D"/>
    <w:rsid w:val="60BD7DF0"/>
    <w:rsid w:val="60C2740B"/>
    <w:rsid w:val="60CA62C0"/>
    <w:rsid w:val="60D809DC"/>
    <w:rsid w:val="61A70276"/>
    <w:rsid w:val="620F042E"/>
    <w:rsid w:val="626764BC"/>
    <w:rsid w:val="62B92A90"/>
    <w:rsid w:val="638018DF"/>
    <w:rsid w:val="63F7386F"/>
    <w:rsid w:val="648221B0"/>
    <w:rsid w:val="648C1482"/>
    <w:rsid w:val="64A31301"/>
    <w:rsid w:val="64A55079"/>
    <w:rsid w:val="65F53F8F"/>
    <w:rsid w:val="665054B9"/>
    <w:rsid w:val="678278F4"/>
    <w:rsid w:val="68150768"/>
    <w:rsid w:val="68466B73"/>
    <w:rsid w:val="687150F2"/>
    <w:rsid w:val="68B35D2C"/>
    <w:rsid w:val="690F6F65"/>
    <w:rsid w:val="691602F4"/>
    <w:rsid w:val="69321FF3"/>
    <w:rsid w:val="699B6A4B"/>
    <w:rsid w:val="6B286B57"/>
    <w:rsid w:val="6C832144"/>
    <w:rsid w:val="6CA9147F"/>
    <w:rsid w:val="6CD174AB"/>
    <w:rsid w:val="6D592EA5"/>
    <w:rsid w:val="6E4C47B8"/>
    <w:rsid w:val="6E600263"/>
    <w:rsid w:val="6E7F4B8D"/>
    <w:rsid w:val="6E861244"/>
    <w:rsid w:val="6EB507F9"/>
    <w:rsid w:val="6EE449F0"/>
    <w:rsid w:val="6EED7D49"/>
    <w:rsid w:val="6EF72976"/>
    <w:rsid w:val="6F9366CF"/>
    <w:rsid w:val="70F30069"/>
    <w:rsid w:val="717F6C52"/>
    <w:rsid w:val="722C7C94"/>
    <w:rsid w:val="72361A07"/>
    <w:rsid w:val="738B18DE"/>
    <w:rsid w:val="73DD4830"/>
    <w:rsid w:val="74DD3B22"/>
    <w:rsid w:val="76006033"/>
    <w:rsid w:val="760A7432"/>
    <w:rsid w:val="76837622"/>
    <w:rsid w:val="76E25746"/>
    <w:rsid w:val="76F854DD"/>
    <w:rsid w:val="77160F3E"/>
    <w:rsid w:val="774A3AE4"/>
    <w:rsid w:val="7789082B"/>
    <w:rsid w:val="779427CE"/>
    <w:rsid w:val="78E139CE"/>
    <w:rsid w:val="7B35430A"/>
    <w:rsid w:val="7B65510B"/>
    <w:rsid w:val="7C5A4039"/>
    <w:rsid w:val="7D5611AF"/>
    <w:rsid w:val="7DCC76C3"/>
    <w:rsid w:val="7EC81C39"/>
    <w:rsid w:val="7F221B2F"/>
    <w:rsid w:val="7F5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alloon Text"/>
    <w:basedOn w:val="1"/>
    <w:link w:val="9"/>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customStyle="1" w:styleId="9">
    <w:name w:val="批注框文本 字符"/>
    <w:link w:val="3"/>
    <w:semiHidden/>
    <w:qFormat/>
    <w:uiPriority w:val="99"/>
    <w:rPr>
      <w:kern w:val="2"/>
      <w:sz w:val="18"/>
      <w:szCs w:val="18"/>
    </w:rPr>
  </w:style>
  <w:style w:type="character" w:customStyle="1" w:styleId="10">
    <w:name w:val="页脚 字符"/>
    <w:link w:val="4"/>
    <w:qFormat/>
    <w:uiPriority w:val="99"/>
    <w:rPr>
      <w:kern w:val="2"/>
      <w:sz w:val="18"/>
      <w:szCs w:val="18"/>
    </w:rPr>
  </w:style>
  <w:style w:type="character" w:customStyle="1" w:styleId="11">
    <w:name w:val="页眉 字符"/>
    <w:link w:val="5"/>
    <w:semiHidden/>
    <w:qFormat/>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 w:type="paragraph" w:customStyle="1" w:styleId="13">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4">
    <w:name w:val="一级条标题"/>
    <w:next w:val="1"/>
    <w:qFormat/>
    <w:uiPriority w:val="0"/>
    <w:pPr>
      <w:spacing w:beforeLines="50"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5</Pages>
  <Words>413</Words>
  <Characters>619</Characters>
  <Lines>7</Lines>
  <Paragraphs>4</Paragraphs>
  <TotalTime>15</TotalTime>
  <ScaleCrop>false</ScaleCrop>
  <LinksUpToDate>false</LinksUpToDate>
  <CharactersWithSpaces>640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2020-07-27T10:18:00Z</dcterms:created>
  <dc:creator>Legend User</dc:creator>
  <cp:lastModifiedBy>夺命曾茫茫</cp:lastModifiedBy>
  <cp:lastPrinted>2020-05-15T02:06:00Z</cp:lastPrinted>
  <dcterms:modified xsi:type="dcterms:W3CDTF">2025-06-19T14:32:27Z</dcterms:modified>
  <dc:title>××产品质量监督抽查实施细则</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9D8B572A876C4EB9BB9E4B1AFA1DB310_13</vt:lpwstr>
  </property>
  <property fmtid="{D5CDD505-2E9C-101B-9397-08002B2CF9AE}" pid="4" name="KSOTemplateDocerSaveRecord">
    <vt:lpwstr>eyJoZGlkIjoiNDMxOTYyNDEzMWFjZTk4ODVmMmE4MDJkZTNlNjkzNzAiLCJ1c2VySWQiOiI2NTk2MDAwNDMifQ==</vt:lpwstr>
  </property>
</Properties>
</file>