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CF818F1">
      <w:pPr>
        <w:snapToGrid w:val="0"/>
        <w:spacing w:line="440" w:lineRule="exact"/>
        <w:jc w:val="center"/>
        <w:rPr>
          <w:rFonts w:hint="default" w:ascii="Times New Roman" w:hAnsi="Times New Roman" w:eastAsia="方正小标宋简体" w:cs="Times New Roman"/>
          <w:color w:val="000000"/>
          <w:sz w:val="36"/>
          <w:szCs w:val="36"/>
        </w:rPr>
      </w:pPr>
      <w:r>
        <w:rPr>
          <w:rFonts w:hint="default" w:ascii="Times New Roman" w:hAnsi="Times New Roman" w:eastAsia="方正小标宋简体" w:cs="Times New Roman"/>
          <w:color w:val="000000"/>
          <w:sz w:val="36"/>
          <w:szCs w:val="36"/>
          <w:lang w:val="en-US" w:eastAsia="zh-CN"/>
        </w:rPr>
        <w:t>西藏自治区儿童餐具</w:t>
      </w:r>
      <w:r>
        <w:rPr>
          <w:rFonts w:hint="default" w:ascii="Times New Roman" w:hAnsi="Times New Roman" w:eastAsia="方正小标宋简体" w:cs="Times New Roman"/>
          <w:color w:val="000000"/>
          <w:sz w:val="36"/>
          <w:szCs w:val="36"/>
        </w:rPr>
        <w:t>产品质量监督抽查实施细则</w:t>
      </w:r>
    </w:p>
    <w:p w14:paraId="62F63BC2">
      <w:pPr>
        <w:snapToGrid w:val="0"/>
        <w:spacing w:line="440" w:lineRule="exact"/>
        <w:jc w:val="center"/>
        <w:rPr>
          <w:rFonts w:hint="default" w:ascii="Times New Roman" w:hAnsi="Times New Roman" w:eastAsia="方正小标宋简体" w:cs="Times New Roman"/>
          <w:color w:val="000000"/>
          <w:sz w:val="36"/>
          <w:szCs w:val="36"/>
        </w:rPr>
      </w:pPr>
      <w:r>
        <w:rPr>
          <w:rFonts w:hint="default" w:ascii="Times New Roman" w:hAnsi="Times New Roman" w:eastAsia="方正小标宋简体" w:cs="Times New Roman"/>
          <w:color w:val="000000"/>
          <w:sz w:val="36"/>
          <w:szCs w:val="36"/>
        </w:rPr>
        <w:t>（202</w:t>
      </w:r>
      <w:r>
        <w:rPr>
          <w:rFonts w:hint="default" w:ascii="Times New Roman" w:hAnsi="Times New Roman" w:eastAsia="方正小标宋简体" w:cs="Times New Roman"/>
          <w:color w:val="000000"/>
          <w:sz w:val="36"/>
          <w:szCs w:val="36"/>
          <w:lang w:val="en-US" w:eastAsia="zh-CN"/>
        </w:rPr>
        <w:t>5</w:t>
      </w:r>
      <w:r>
        <w:rPr>
          <w:rFonts w:hint="default" w:ascii="Times New Roman" w:hAnsi="Times New Roman" w:eastAsia="方正小标宋简体" w:cs="Times New Roman"/>
          <w:color w:val="000000"/>
          <w:sz w:val="36"/>
          <w:szCs w:val="36"/>
        </w:rPr>
        <w:t>版）</w:t>
      </w:r>
    </w:p>
    <w:p w14:paraId="403AFAB3">
      <w:pPr>
        <w:adjustRightInd w:val="0"/>
        <w:snapToGrid w:val="0"/>
        <w:spacing w:line="594" w:lineRule="exact"/>
        <w:jc w:val="center"/>
        <w:rPr>
          <w:rFonts w:hint="default" w:ascii="Times New Roman" w:hAnsi="Times New Roman" w:eastAsia="微软雅黑" w:cs="Times New Roman"/>
          <w:bCs/>
          <w:color w:val="000000"/>
          <w:sz w:val="32"/>
          <w:szCs w:val="32"/>
        </w:rPr>
      </w:pPr>
    </w:p>
    <w:p w14:paraId="478BC01A">
      <w:pPr>
        <w:snapToGrid w:val="0"/>
        <w:spacing w:line="440" w:lineRule="exact"/>
        <w:rPr>
          <w:rFonts w:hint="default" w:ascii="Times New Roman" w:hAnsi="Times New Roman" w:eastAsia="黑体" w:cs="Times New Roman"/>
          <w:color w:val="000000"/>
          <w:szCs w:val="21"/>
        </w:rPr>
      </w:pPr>
      <w:r>
        <w:rPr>
          <w:rFonts w:hint="default" w:ascii="Times New Roman" w:hAnsi="Times New Roman" w:eastAsia="黑体" w:cs="Times New Roman"/>
          <w:color w:val="000000"/>
          <w:szCs w:val="21"/>
        </w:rPr>
        <w:t>1 抽样方法</w:t>
      </w:r>
    </w:p>
    <w:p w14:paraId="62717A3E">
      <w:pPr>
        <w:snapToGrid w:val="0"/>
        <w:spacing w:line="440" w:lineRule="exact"/>
        <w:ind w:firstLine="420" w:firstLineChars="200"/>
        <w:rPr>
          <w:rFonts w:hint="default" w:ascii="Times New Roman" w:hAnsi="Times New Roman" w:cs="Times New Roman"/>
          <w:color w:val="000000"/>
          <w:szCs w:val="21"/>
        </w:rPr>
      </w:pPr>
      <w:r>
        <w:rPr>
          <w:rFonts w:hint="default" w:ascii="Times New Roman" w:hAnsi="Times New Roman" w:cs="Times New Roman"/>
          <w:color w:val="000000"/>
          <w:szCs w:val="21"/>
        </w:rPr>
        <w:t>以随机抽样的方式在被抽样生产者的待销产品中和辅料仓库内抽取。</w:t>
      </w:r>
    </w:p>
    <w:p w14:paraId="200D11D7">
      <w:pPr>
        <w:snapToGrid w:val="0"/>
        <w:spacing w:line="440" w:lineRule="exact"/>
        <w:ind w:firstLine="420" w:firstLineChars="200"/>
        <w:rPr>
          <w:rFonts w:hint="default" w:ascii="Times New Roman" w:hAnsi="Times New Roman" w:cs="Times New Roman"/>
          <w:color w:val="000000" w:themeColor="text1"/>
          <w:szCs w:val="21"/>
        </w:rPr>
      </w:pPr>
      <w:r>
        <w:rPr>
          <w:rFonts w:hint="default" w:ascii="Times New Roman" w:hAnsi="Times New Roman" w:cs="Times New Roman"/>
          <w:color w:val="000000"/>
          <w:szCs w:val="21"/>
        </w:rPr>
        <w:t>抽查样</w:t>
      </w:r>
      <w:r>
        <w:rPr>
          <w:rFonts w:hint="default" w:ascii="Times New Roman" w:hAnsi="Times New Roman" w:cs="Times New Roman"/>
          <w:color w:val="000000" w:themeColor="text1"/>
          <w:szCs w:val="21"/>
        </w:rPr>
        <w:t>品基数满足抽样数量即可。</w:t>
      </w:r>
    </w:p>
    <w:p w14:paraId="192044A3">
      <w:pPr>
        <w:snapToGrid w:val="0"/>
        <w:spacing w:line="440" w:lineRule="exact"/>
        <w:ind w:firstLine="420" w:firstLineChars="200"/>
        <w:rPr>
          <w:rFonts w:hint="default" w:ascii="Times New Roman" w:hAnsi="Times New Roman" w:cs="Times New Roman"/>
          <w:color w:val="000000" w:themeColor="text1"/>
          <w:szCs w:val="21"/>
        </w:rPr>
      </w:pPr>
      <w:r>
        <w:rPr>
          <w:rFonts w:hint="default" w:ascii="Times New Roman" w:hAnsi="Times New Roman" w:cs="Times New Roman"/>
          <w:color w:val="000000" w:themeColor="text1"/>
          <w:szCs w:val="21"/>
        </w:rPr>
        <w:t>随机数一般可使用随机数表、骰子或扑克牌等方法产生。</w:t>
      </w:r>
    </w:p>
    <w:p w14:paraId="3D19B30E">
      <w:pPr>
        <w:snapToGrid w:val="0"/>
        <w:spacing w:line="440" w:lineRule="exact"/>
        <w:ind w:firstLine="420" w:firstLineChars="200"/>
        <w:rPr>
          <w:rFonts w:hint="default" w:ascii="Times New Roman" w:hAnsi="Times New Roman" w:cs="Times New Roman"/>
          <w:color w:val="000000" w:themeColor="text1"/>
          <w:szCs w:val="21"/>
        </w:rPr>
      </w:pPr>
      <w:r>
        <w:rPr>
          <w:rFonts w:hint="default" w:ascii="Times New Roman" w:hAnsi="Times New Roman" w:cs="Times New Roman"/>
          <w:color w:val="000000" w:themeColor="text1"/>
          <w:szCs w:val="21"/>
          <w:lang w:val="en-US" w:eastAsia="zh-CN"/>
        </w:rPr>
        <w:t>塑料材质：</w:t>
      </w:r>
      <w:r>
        <w:rPr>
          <w:rFonts w:hint="default" w:ascii="Times New Roman" w:hAnsi="Times New Roman" w:cs="Times New Roman"/>
          <w:color w:val="000000" w:themeColor="text1"/>
          <w:szCs w:val="21"/>
        </w:rPr>
        <w:t>每批次产品抽取样品</w:t>
      </w:r>
      <w:r>
        <w:rPr>
          <w:rFonts w:hint="default" w:ascii="Times New Roman" w:hAnsi="Times New Roman" w:cs="Times New Roman"/>
          <w:color w:val="000000" w:themeColor="text1"/>
          <w:szCs w:val="21"/>
          <w:lang w:val="en-US" w:eastAsia="zh-CN"/>
        </w:rPr>
        <w:t>10个</w:t>
      </w:r>
      <w:r>
        <w:rPr>
          <w:rFonts w:hint="default" w:ascii="Times New Roman" w:hAnsi="Times New Roman" w:cs="Times New Roman"/>
          <w:color w:val="000000" w:themeColor="text1"/>
          <w:szCs w:val="21"/>
        </w:rPr>
        <w:t>，其中</w:t>
      </w:r>
      <w:r>
        <w:rPr>
          <w:rFonts w:hint="default" w:ascii="Times New Roman" w:hAnsi="Times New Roman" w:cs="Times New Roman"/>
          <w:color w:val="000000" w:themeColor="text1"/>
          <w:szCs w:val="21"/>
          <w:lang w:val="en-US" w:eastAsia="zh-CN"/>
        </w:rPr>
        <w:t>6个</w:t>
      </w:r>
      <w:r>
        <w:rPr>
          <w:rFonts w:hint="default" w:ascii="Times New Roman" w:hAnsi="Times New Roman" w:cs="Times New Roman"/>
          <w:color w:val="000000" w:themeColor="text1"/>
          <w:szCs w:val="21"/>
        </w:rPr>
        <w:t>作为检验样品，</w:t>
      </w:r>
      <w:r>
        <w:rPr>
          <w:rFonts w:hint="default" w:ascii="Times New Roman" w:hAnsi="Times New Roman" w:cs="Times New Roman"/>
          <w:color w:val="000000" w:themeColor="text1"/>
          <w:szCs w:val="21"/>
          <w:lang w:val="en-US" w:eastAsia="zh-CN"/>
        </w:rPr>
        <w:t>4个</w:t>
      </w:r>
      <w:r>
        <w:rPr>
          <w:rFonts w:hint="default" w:ascii="Times New Roman" w:hAnsi="Times New Roman" w:cs="Times New Roman"/>
          <w:color w:val="000000" w:themeColor="text1"/>
          <w:szCs w:val="21"/>
        </w:rPr>
        <w:t>作为备用样品。</w:t>
      </w:r>
    </w:p>
    <w:p w14:paraId="3A4BE6EE">
      <w:pPr>
        <w:snapToGrid w:val="0"/>
        <w:spacing w:line="440" w:lineRule="exact"/>
        <w:ind w:firstLine="420" w:firstLineChars="200"/>
        <w:rPr>
          <w:rFonts w:hint="default" w:ascii="Times New Roman" w:hAnsi="Times New Roman" w:cs="Times New Roman"/>
          <w:color w:val="000000" w:themeColor="text1"/>
          <w:szCs w:val="21"/>
        </w:rPr>
      </w:pPr>
      <w:r>
        <w:rPr>
          <w:rFonts w:hint="default" w:ascii="Times New Roman" w:hAnsi="Times New Roman" w:cs="Times New Roman"/>
          <w:color w:val="000000" w:themeColor="text1"/>
          <w:szCs w:val="21"/>
          <w:lang w:val="en-US" w:eastAsia="zh-CN"/>
        </w:rPr>
        <w:t>不锈钢材质：</w:t>
      </w:r>
      <w:r>
        <w:rPr>
          <w:rFonts w:hint="default" w:ascii="Times New Roman" w:hAnsi="Times New Roman" w:cs="Times New Roman"/>
          <w:color w:val="000000" w:themeColor="text1"/>
          <w:szCs w:val="21"/>
        </w:rPr>
        <w:t>每批次产品抽取样品</w:t>
      </w:r>
      <w:r>
        <w:rPr>
          <w:rFonts w:hint="default" w:ascii="Times New Roman" w:hAnsi="Times New Roman" w:cs="Times New Roman"/>
          <w:color w:val="000000" w:themeColor="text1"/>
          <w:szCs w:val="21"/>
          <w:lang w:val="en-US" w:eastAsia="zh-CN"/>
        </w:rPr>
        <w:t>6个</w:t>
      </w:r>
      <w:r>
        <w:rPr>
          <w:rFonts w:hint="default" w:ascii="Times New Roman" w:hAnsi="Times New Roman" w:cs="Times New Roman"/>
          <w:color w:val="000000" w:themeColor="text1"/>
          <w:szCs w:val="21"/>
        </w:rPr>
        <w:t>，其中</w:t>
      </w:r>
      <w:r>
        <w:rPr>
          <w:rFonts w:hint="default" w:ascii="Times New Roman" w:hAnsi="Times New Roman" w:cs="Times New Roman"/>
          <w:color w:val="000000" w:themeColor="text1"/>
          <w:szCs w:val="21"/>
          <w:lang w:val="en-US" w:eastAsia="zh-CN"/>
        </w:rPr>
        <w:t>4个</w:t>
      </w:r>
      <w:r>
        <w:rPr>
          <w:rFonts w:hint="default" w:ascii="Times New Roman" w:hAnsi="Times New Roman" w:cs="Times New Roman"/>
          <w:color w:val="000000" w:themeColor="text1"/>
          <w:szCs w:val="21"/>
        </w:rPr>
        <w:t>作为检验样品，</w:t>
      </w:r>
      <w:r>
        <w:rPr>
          <w:rFonts w:hint="default" w:ascii="Times New Roman" w:hAnsi="Times New Roman" w:cs="Times New Roman"/>
          <w:color w:val="000000" w:themeColor="text1"/>
          <w:szCs w:val="21"/>
          <w:lang w:val="en-US" w:eastAsia="zh-CN"/>
        </w:rPr>
        <w:t>2个</w:t>
      </w:r>
      <w:r>
        <w:rPr>
          <w:rFonts w:hint="default" w:ascii="Times New Roman" w:hAnsi="Times New Roman" w:cs="Times New Roman"/>
          <w:color w:val="000000" w:themeColor="text1"/>
          <w:szCs w:val="21"/>
        </w:rPr>
        <w:t>作为备用样品。</w:t>
      </w:r>
    </w:p>
    <w:p w14:paraId="004328C4">
      <w:pPr>
        <w:snapToGrid w:val="0"/>
        <w:spacing w:line="440" w:lineRule="exact"/>
        <w:ind w:firstLine="420" w:firstLineChars="200"/>
        <w:rPr>
          <w:rFonts w:hint="default" w:ascii="Times New Roman" w:hAnsi="Times New Roman" w:cs="Times New Roman"/>
          <w:color w:val="000000"/>
          <w:szCs w:val="21"/>
        </w:rPr>
      </w:pPr>
    </w:p>
    <w:p w14:paraId="05505045">
      <w:pPr>
        <w:snapToGrid w:val="0"/>
        <w:spacing w:line="440" w:lineRule="exact"/>
        <w:rPr>
          <w:rFonts w:hint="default" w:ascii="Times New Roman" w:hAnsi="Times New Roman" w:eastAsia="黑体" w:cs="Times New Roman"/>
          <w:color w:val="000000"/>
          <w:szCs w:val="21"/>
        </w:rPr>
      </w:pPr>
      <w:r>
        <w:rPr>
          <w:rFonts w:hint="default" w:ascii="Times New Roman" w:hAnsi="Times New Roman" w:eastAsia="黑体" w:cs="Times New Roman"/>
          <w:color w:val="000000"/>
          <w:szCs w:val="21"/>
        </w:rPr>
        <w:t>2 检验依据</w:t>
      </w:r>
    </w:p>
    <w:p w14:paraId="313F0289">
      <w:pPr>
        <w:snapToGrid w:val="0"/>
        <w:spacing w:line="440" w:lineRule="exact"/>
        <w:rPr>
          <w:rFonts w:hint="default" w:ascii="Times New Roman" w:hAnsi="Times New Roman" w:cs="Times New Roman"/>
          <w:color w:val="000000"/>
        </w:rPr>
      </w:pPr>
    </w:p>
    <w:p w14:paraId="0B236334">
      <w:pPr>
        <w:snapToGrid w:val="0"/>
        <w:spacing w:line="440" w:lineRule="exact"/>
        <w:jc w:val="center"/>
        <w:rPr>
          <w:rFonts w:hint="default" w:ascii="Times New Roman" w:hAnsi="Times New Roman" w:eastAsia="宋体" w:cs="Times New Roman"/>
          <w:color w:val="000000"/>
          <w:kern w:val="0"/>
          <w:szCs w:val="21"/>
          <w:lang w:val="en-US" w:eastAsia="zh-CN"/>
        </w:rPr>
      </w:pPr>
      <w:r>
        <w:rPr>
          <w:rFonts w:hint="default" w:ascii="Times New Roman" w:hAnsi="Times New Roman" w:cs="Times New Roman"/>
          <w:color w:val="000000"/>
          <w:kern w:val="0"/>
          <w:szCs w:val="21"/>
        </w:rPr>
        <w:t xml:space="preserve">表1 </w:t>
      </w:r>
      <w:r>
        <w:rPr>
          <w:rFonts w:hint="default" w:ascii="Times New Roman" w:hAnsi="Times New Roman" w:cs="Times New Roman"/>
          <w:color w:val="000000"/>
          <w:kern w:val="0"/>
          <w:szCs w:val="21"/>
          <w:lang w:val="en-US" w:eastAsia="zh-CN"/>
        </w:rPr>
        <w:t>塑料材质儿童餐具</w:t>
      </w:r>
    </w:p>
    <w:tbl>
      <w:tblPr>
        <w:tblStyle w:val="9"/>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88"/>
        <w:gridCol w:w="3404"/>
        <w:gridCol w:w="5082"/>
      </w:tblGrid>
      <w:tr w14:paraId="20A215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0" w:hRule="exact"/>
          <w:tblHeader/>
          <w:jc w:val="center"/>
        </w:trPr>
        <w:tc>
          <w:tcPr>
            <w:tcW w:w="375" w:type="pct"/>
            <w:shd w:val="clear" w:color="auto" w:fill="auto"/>
          </w:tcPr>
          <w:p w14:paraId="562E3CD5">
            <w:pPr>
              <w:snapToGrid w:val="0"/>
              <w:spacing w:line="440" w:lineRule="exact"/>
              <w:jc w:val="center"/>
              <w:rPr>
                <w:rFonts w:hint="default" w:ascii="Times New Roman" w:hAnsi="Times New Roman" w:cs="Times New Roman"/>
                <w:color w:val="000000" w:themeColor="text1"/>
              </w:rPr>
            </w:pPr>
            <w:r>
              <w:rPr>
                <w:rFonts w:hint="default" w:ascii="Times New Roman" w:hAnsi="Times New Roman" w:cs="Times New Roman"/>
                <w:color w:val="000000" w:themeColor="text1"/>
              </w:rPr>
              <w:t>序号</w:t>
            </w:r>
          </w:p>
        </w:tc>
        <w:tc>
          <w:tcPr>
            <w:tcW w:w="1855" w:type="pct"/>
            <w:shd w:val="clear" w:color="auto" w:fill="auto"/>
          </w:tcPr>
          <w:p w14:paraId="794C363B">
            <w:pPr>
              <w:snapToGrid w:val="0"/>
              <w:spacing w:line="440" w:lineRule="exact"/>
              <w:jc w:val="center"/>
              <w:rPr>
                <w:rFonts w:hint="default" w:ascii="Times New Roman" w:hAnsi="Times New Roman" w:cs="Times New Roman"/>
                <w:color w:val="000000" w:themeColor="text1"/>
              </w:rPr>
            </w:pPr>
            <w:r>
              <w:rPr>
                <w:rFonts w:hint="default" w:ascii="Times New Roman" w:hAnsi="Times New Roman" w:cs="Times New Roman"/>
                <w:color w:val="000000" w:themeColor="text1"/>
              </w:rPr>
              <w:t>检验项目</w:t>
            </w:r>
          </w:p>
        </w:tc>
        <w:tc>
          <w:tcPr>
            <w:tcW w:w="2769" w:type="pct"/>
            <w:shd w:val="clear" w:color="auto" w:fill="auto"/>
          </w:tcPr>
          <w:p w14:paraId="2532C328">
            <w:pPr>
              <w:snapToGrid w:val="0"/>
              <w:spacing w:line="440" w:lineRule="exact"/>
              <w:jc w:val="center"/>
              <w:rPr>
                <w:rFonts w:hint="default" w:ascii="Times New Roman" w:hAnsi="Times New Roman" w:cs="Times New Roman"/>
                <w:color w:val="000000" w:themeColor="text1"/>
              </w:rPr>
            </w:pPr>
            <w:r>
              <w:rPr>
                <w:rFonts w:hint="default" w:ascii="Times New Roman" w:hAnsi="Times New Roman" w:cs="Times New Roman"/>
                <w:color w:val="000000" w:themeColor="text1"/>
              </w:rPr>
              <w:t>检验方法</w:t>
            </w:r>
          </w:p>
        </w:tc>
      </w:tr>
      <w:tr w14:paraId="292676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5" w:type="pct"/>
            <w:shd w:val="clear" w:color="auto" w:fill="auto"/>
            <w:vAlign w:val="center"/>
          </w:tcPr>
          <w:p w14:paraId="4A687475">
            <w:pPr>
              <w:adjustRightInd w:val="0"/>
              <w:snapToGrid w:val="0"/>
              <w:jc w:val="center"/>
              <w:textAlignment w:val="center"/>
              <w:rPr>
                <w:rFonts w:hint="default" w:ascii="Times New Roman" w:hAnsi="Times New Roman" w:cs="Times New Roman"/>
                <w:color w:val="000000" w:themeColor="text1"/>
              </w:rPr>
            </w:pPr>
            <w:r>
              <w:rPr>
                <w:rFonts w:hint="default" w:ascii="Times New Roman" w:hAnsi="Times New Roman" w:cs="Times New Roman"/>
                <w:color w:val="000000" w:themeColor="text1"/>
                <w:kern w:val="0"/>
              </w:rPr>
              <w:t>1</w:t>
            </w:r>
          </w:p>
        </w:tc>
        <w:tc>
          <w:tcPr>
            <w:tcW w:w="1855" w:type="pct"/>
            <w:shd w:val="clear" w:color="auto" w:fill="auto"/>
            <w:vAlign w:val="center"/>
          </w:tcPr>
          <w:p w14:paraId="5B0D41F2">
            <w:pPr>
              <w:adjustRightInd w:val="0"/>
              <w:snapToGrid w:val="0"/>
              <w:jc w:val="center"/>
              <w:rPr>
                <w:rFonts w:hint="default" w:ascii="Times New Roman" w:hAnsi="Times New Roman" w:cs="Times New Roman"/>
                <w:color w:val="000000" w:themeColor="text1"/>
              </w:rPr>
            </w:pPr>
            <w:r>
              <w:rPr>
                <w:rFonts w:hint="default" w:ascii="Times New Roman" w:hAnsi="Times New Roman" w:cs="Times New Roman"/>
                <w:color w:val="000000" w:themeColor="text1"/>
              </w:rPr>
              <w:t>感官要求</w:t>
            </w:r>
          </w:p>
        </w:tc>
        <w:tc>
          <w:tcPr>
            <w:tcW w:w="2769" w:type="pct"/>
            <w:shd w:val="clear" w:color="auto" w:fill="auto"/>
            <w:vAlign w:val="center"/>
          </w:tcPr>
          <w:p w14:paraId="2D06DC86">
            <w:pPr>
              <w:adjustRightInd w:val="0"/>
              <w:snapToGrid w:val="0"/>
              <w:jc w:val="center"/>
              <w:rPr>
                <w:rFonts w:hint="default" w:ascii="Times New Roman" w:hAnsi="Times New Roman" w:cs="Times New Roman"/>
                <w:color w:val="000000" w:themeColor="text1"/>
                <w:szCs w:val="21"/>
              </w:rPr>
            </w:pPr>
            <w:r>
              <w:rPr>
                <w:rFonts w:hint="default" w:ascii="Times New Roman" w:hAnsi="Times New Roman" w:cs="Times New Roman"/>
                <w:color w:val="000000" w:themeColor="text1"/>
                <w:szCs w:val="21"/>
              </w:rPr>
              <w:t>GB 4806.7</w:t>
            </w:r>
            <w:r>
              <w:rPr>
                <w:rFonts w:hint="default" w:ascii="Times New Roman" w:hAnsi="Times New Roman" w:cs="Times New Roman"/>
                <w:color w:val="000000" w:themeColor="text1"/>
                <w:szCs w:val="21"/>
                <w:lang w:eastAsia="zh-CN"/>
              </w:rPr>
              <w:t>-</w:t>
            </w:r>
            <w:r>
              <w:rPr>
                <w:rFonts w:hint="default" w:ascii="Times New Roman" w:hAnsi="Times New Roman" w:cs="Times New Roman"/>
                <w:color w:val="000000" w:themeColor="text1"/>
                <w:szCs w:val="21"/>
              </w:rPr>
              <w:t>2023</w:t>
            </w:r>
          </w:p>
        </w:tc>
      </w:tr>
      <w:tr w14:paraId="03ED98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5" w:type="pct"/>
            <w:shd w:val="clear" w:color="auto" w:fill="auto"/>
            <w:vAlign w:val="center"/>
          </w:tcPr>
          <w:p w14:paraId="589A5B98">
            <w:pPr>
              <w:adjustRightInd w:val="0"/>
              <w:snapToGrid w:val="0"/>
              <w:jc w:val="center"/>
              <w:textAlignment w:val="center"/>
              <w:rPr>
                <w:rFonts w:hint="default" w:ascii="Times New Roman" w:hAnsi="Times New Roman" w:eastAsia="宋体" w:cs="Times New Roman"/>
                <w:color w:val="000000" w:themeColor="text1"/>
                <w:kern w:val="0"/>
                <w:sz w:val="21"/>
                <w:szCs w:val="24"/>
                <w:lang w:val="en-US" w:eastAsia="zh-CN" w:bidi="ar-SA"/>
              </w:rPr>
            </w:pPr>
            <w:r>
              <w:rPr>
                <w:rFonts w:hint="default" w:ascii="Times New Roman" w:hAnsi="Times New Roman" w:cs="Times New Roman"/>
                <w:color w:val="000000" w:themeColor="text1"/>
                <w:kern w:val="0"/>
              </w:rPr>
              <w:t>2</w:t>
            </w:r>
          </w:p>
        </w:tc>
        <w:tc>
          <w:tcPr>
            <w:tcW w:w="1855" w:type="pct"/>
            <w:shd w:val="clear" w:color="auto" w:fill="auto"/>
            <w:vAlign w:val="center"/>
          </w:tcPr>
          <w:p w14:paraId="776B2473">
            <w:pPr>
              <w:adjustRightInd w:val="0"/>
              <w:snapToGrid w:val="0"/>
              <w:jc w:val="center"/>
              <w:rPr>
                <w:rFonts w:hint="default" w:ascii="Times New Roman" w:hAnsi="Times New Roman" w:eastAsia="宋体" w:cs="Times New Roman"/>
                <w:color w:val="000000" w:themeColor="text1"/>
                <w:szCs w:val="21"/>
                <w:lang w:val="en-US" w:eastAsia="zh-CN"/>
              </w:rPr>
            </w:pPr>
            <w:r>
              <w:rPr>
                <w:rFonts w:hint="default" w:ascii="Times New Roman" w:hAnsi="Times New Roman" w:cs="Times New Roman"/>
                <w:color w:val="000000" w:themeColor="text1"/>
                <w:szCs w:val="21"/>
                <w:lang w:val="en-US" w:eastAsia="zh-CN"/>
              </w:rPr>
              <w:t>总迁移量</w:t>
            </w:r>
          </w:p>
        </w:tc>
        <w:tc>
          <w:tcPr>
            <w:tcW w:w="2769" w:type="pct"/>
            <w:shd w:val="clear" w:color="auto" w:fill="auto"/>
            <w:vAlign w:val="center"/>
          </w:tcPr>
          <w:p w14:paraId="30411579">
            <w:pPr>
              <w:adjustRightInd w:val="0"/>
              <w:snapToGrid w:val="0"/>
              <w:jc w:val="center"/>
              <w:rPr>
                <w:rFonts w:hint="default" w:ascii="Times New Roman" w:hAnsi="Times New Roman" w:cs="Times New Roman"/>
                <w:color w:val="000000" w:themeColor="text1"/>
                <w:szCs w:val="21"/>
              </w:rPr>
            </w:pPr>
            <w:r>
              <w:rPr>
                <w:rFonts w:hint="default" w:ascii="Times New Roman" w:hAnsi="Times New Roman" w:cs="Times New Roman"/>
                <w:color w:val="000000" w:themeColor="text1"/>
                <w:szCs w:val="21"/>
              </w:rPr>
              <w:t>GB 31604.8-2021</w:t>
            </w:r>
          </w:p>
        </w:tc>
      </w:tr>
      <w:tr w14:paraId="3A12E0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5" w:type="pct"/>
            <w:shd w:val="clear" w:color="auto" w:fill="auto"/>
            <w:vAlign w:val="center"/>
          </w:tcPr>
          <w:p w14:paraId="55D0823E">
            <w:pPr>
              <w:adjustRightInd w:val="0"/>
              <w:snapToGrid w:val="0"/>
              <w:jc w:val="center"/>
              <w:textAlignment w:val="center"/>
              <w:rPr>
                <w:rFonts w:hint="default" w:ascii="Times New Roman" w:hAnsi="Times New Roman" w:eastAsia="宋体" w:cs="Times New Roman"/>
                <w:color w:val="000000" w:themeColor="text1"/>
                <w:kern w:val="0"/>
                <w:sz w:val="21"/>
                <w:szCs w:val="24"/>
                <w:lang w:val="en-US" w:eastAsia="zh-CN" w:bidi="ar-SA"/>
              </w:rPr>
            </w:pPr>
            <w:r>
              <w:rPr>
                <w:rFonts w:hint="default" w:ascii="Times New Roman" w:hAnsi="Times New Roman" w:cs="Times New Roman"/>
                <w:color w:val="000000" w:themeColor="text1"/>
                <w:kern w:val="0"/>
              </w:rPr>
              <w:t>3</w:t>
            </w:r>
          </w:p>
        </w:tc>
        <w:tc>
          <w:tcPr>
            <w:tcW w:w="1855" w:type="pct"/>
            <w:shd w:val="clear" w:color="auto" w:fill="auto"/>
            <w:vAlign w:val="center"/>
          </w:tcPr>
          <w:p w14:paraId="1DB225A0">
            <w:pPr>
              <w:adjustRightInd w:val="0"/>
              <w:snapToGrid w:val="0"/>
              <w:jc w:val="center"/>
              <w:rPr>
                <w:rFonts w:hint="default" w:ascii="Times New Roman" w:hAnsi="Times New Roman" w:cs="Times New Roman"/>
                <w:color w:val="000000" w:themeColor="text1"/>
                <w:szCs w:val="21"/>
              </w:rPr>
            </w:pPr>
            <w:r>
              <w:rPr>
                <w:rFonts w:hint="default" w:ascii="Times New Roman" w:hAnsi="Times New Roman" w:cs="Times New Roman"/>
                <w:color w:val="000000" w:themeColor="text1"/>
                <w:szCs w:val="21"/>
              </w:rPr>
              <w:t>高锰酸钾消耗量</w:t>
            </w:r>
          </w:p>
        </w:tc>
        <w:tc>
          <w:tcPr>
            <w:tcW w:w="2769" w:type="pct"/>
            <w:shd w:val="clear" w:color="auto" w:fill="auto"/>
            <w:vAlign w:val="center"/>
          </w:tcPr>
          <w:p w14:paraId="5E5A4F9D">
            <w:pPr>
              <w:adjustRightInd w:val="0"/>
              <w:snapToGrid w:val="0"/>
              <w:jc w:val="center"/>
              <w:rPr>
                <w:rFonts w:hint="default" w:ascii="Times New Roman" w:hAnsi="Times New Roman" w:cs="Times New Roman"/>
                <w:color w:val="000000" w:themeColor="text1"/>
                <w:szCs w:val="21"/>
              </w:rPr>
            </w:pPr>
            <w:r>
              <w:rPr>
                <w:rFonts w:hint="default" w:ascii="Times New Roman" w:hAnsi="Times New Roman" w:cs="Times New Roman"/>
                <w:color w:val="000000" w:themeColor="text1"/>
                <w:szCs w:val="21"/>
              </w:rPr>
              <w:t xml:space="preserve">GB 31604.2 </w:t>
            </w:r>
            <w:r>
              <w:rPr>
                <w:rFonts w:hint="default" w:ascii="Times New Roman" w:hAnsi="Times New Roman" w:cs="Times New Roman"/>
                <w:szCs w:val="21"/>
                <w:lang w:eastAsia="zh-CN"/>
              </w:rPr>
              <w:t>-</w:t>
            </w:r>
            <w:r>
              <w:rPr>
                <w:rFonts w:hint="default" w:ascii="Times New Roman" w:hAnsi="Times New Roman" w:cs="Times New Roman"/>
                <w:szCs w:val="21"/>
              </w:rPr>
              <w:t>2016</w:t>
            </w:r>
          </w:p>
        </w:tc>
      </w:tr>
      <w:tr w14:paraId="4D141B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5" w:type="pct"/>
            <w:shd w:val="clear" w:color="auto" w:fill="auto"/>
            <w:vAlign w:val="center"/>
          </w:tcPr>
          <w:p w14:paraId="6122B243">
            <w:pPr>
              <w:adjustRightInd w:val="0"/>
              <w:snapToGrid w:val="0"/>
              <w:jc w:val="center"/>
              <w:textAlignment w:val="center"/>
              <w:rPr>
                <w:rFonts w:hint="default" w:ascii="Times New Roman" w:hAnsi="Times New Roman" w:eastAsia="宋体" w:cs="Times New Roman"/>
                <w:color w:val="000000" w:themeColor="text1"/>
                <w:kern w:val="0"/>
                <w:sz w:val="21"/>
                <w:szCs w:val="24"/>
                <w:lang w:val="en-US" w:eastAsia="zh-CN" w:bidi="ar-SA"/>
              </w:rPr>
            </w:pPr>
            <w:r>
              <w:rPr>
                <w:rFonts w:hint="default" w:ascii="Times New Roman" w:hAnsi="Times New Roman" w:cs="Times New Roman"/>
                <w:color w:val="000000" w:themeColor="text1"/>
                <w:kern w:val="0"/>
              </w:rPr>
              <w:t>4</w:t>
            </w:r>
          </w:p>
        </w:tc>
        <w:tc>
          <w:tcPr>
            <w:tcW w:w="1855" w:type="pct"/>
            <w:shd w:val="clear" w:color="auto" w:fill="auto"/>
            <w:vAlign w:val="center"/>
          </w:tcPr>
          <w:p w14:paraId="76CD7763">
            <w:pPr>
              <w:adjustRightInd w:val="0"/>
              <w:snapToGrid w:val="0"/>
              <w:jc w:val="center"/>
              <w:rPr>
                <w:rFonts w:hint="default" w:ascii="Times New Roman" w:hAnsi="Times New Roman" w:cs="Times New Roman"/>
                <w:color w:val="000000" w:themeColor="text1"/>
                <w:szCs w:val="21"/>
              </w:rPr>
            </w:pPr>
            <w:r>
              <w:rPr>
                <w:rFonts w:hint="default" w:ascii="Times New Roman" w:hAnsi="Times New Roman" w:cs="Times New Roman"/>
                <w:color w:val="000000" w:themeColor="text1"/>
                <w:szCs w:val="21"/>
              </w:rPr>
              <w:t>重金属（以Pb计）</w:t>
            </w:r>
          </w:p>
        </w:tc>
        <w:tc>
          <w:tcPr>
            <w:tcW w:w="2769" w:type="pct"/>
            <w:shd w:val="clear" w:color="auto" w:fill="auto"/>
            <w:vAlign w:val="center"/>
          </w:tcPr>
          <w:p w14:paraId="38CA3A28">
            <w:pPr>
              <w:adjustRightInd w:val="0"/>
              <w:snapToGrid w:val="0"/>
              <w:jc w:val="center"/>
              <w:rPr>
                <w:rFonts w:hint="default" w:ascii="Times New Roman" w:hAnsi="Times New Roman" w:cs="Times New Roman"/>
                <w:color w:val="000000" w:themeColor="text1"/>
                <w:szCs w:val="21"/>
              </w:rPr>
            </w:pPr>
            <w:r>
              <w:rPr>
                <w:rFonts w:hint="default" w:ascii="Times New Roman" w:hAnsi="Times New Roman" w:cs="Times New Roman"/>
                <w:color w:val="000000" w:themeColor="text1"/>
                <w:szCs w:val="21"/>
              </w:rPr>
              <w:t xml:space="preserve">GB 31604.9 </w:t>
            </w:r>
            <w:r>
              <w:rPr>
                <w:rFonts w:hint="default" w:ascii="Times New Roman" w:hAnsi="Times New Roman" w:cs="Times New Roman"/>
                <w:szCs w:val="21"/>
                <w:lang w:eastAsia="zh-CN"/>
              </w:rPr>
              <w:t>-</w:t>
            </w:r>
            <w:r>
              <w:rPr>
                <w:rFonts w:hint="default" w:ascii="Times New Roman" w:hAnsi="Times New Roman" w:cs="Times New Roman"/>
                <w:szCs w:val="21"/>
              </w:rPr>
              <w:t>2016</w:t>
            </w:r>
          </w:p>
        </w:tc>
      </w:tr>
      <w:tr w14:paraId="715B7F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5" w:type="pct"/>
            <w:shd w:val="clear" w:color="auto" w:fill="auto"/>
            <w:vAlign w:val="center"/>
          </w:tcPr>
          <w:p w14:paraId="45646182">
            <w:pPr>
              <w:adjustRightInd w:val="0"/>
              <w:snapToGrid w:val="0"/>
              <w:jc w:val="center"/>
              <w:textAlignment w:val="center"/>
              <w:rPr>
                <w:rFonts w:hint="default" w:ascii="Times New Roman" w:hAnsi="Times New Roman" w:eastAsia="宋体" w:cs="Times New Roman"/>
                <w:color w:val="000000" w:themeColor="text1"/>
                <w:kern w:val="0"/>
                <w:lang w:val="en-US" w:eastAsia="zh-CN"/>
              </w:rPr>
            </w:pPr>
            <w:r>
              <w:rPr>
                <w:rFonts w:hint="default" w:ascii="Times New Roman" w:hAnsi="Times New Roman" w:cs="Times New Roman"/>
                <w:color w:val="000000" w:themeColor="text1"/>
                <w:kern w:val="0"/>
                <w:lang w:val="en-US" w:eastAsia="zh-CN"/>
              </w:rPr>
              <w:t>5</w:t>
            </w:r>
          </w:p>
        </w:tc>
        <w:tc>
          <w:tcPr>
            <w:tcW w:w="1855" w:type="pct"/>
            <w:shd w:val="clear" w:color="auto" w:fill="auto"/>
            <w:vAlign w:val="center"/>
          </w:tcPr>
          <w:p w14:paraId="4677E129">
            <w:pPr>
              <w:adjustRightInd w:val="0"/>
              <w:snapToGrid w:val="0"/>
              <w:jc w:val="center"/>
              <w:rPr>
                <w:rFonts w:hint="default" w:ascii="Times New Roman" w:hAnsi="Times New Roman" w:cs="Times New Roman"/>
                <w:color w:val="000000" w:themeColor="text1"/>
              </w:rPr>
            </w:pPr>
            <w:r>
              <w:rPr>
                <w:rFonts w:hint="default" w:ascii="Times New Roman" w:hAnsi="Times New Roman" w:cs="Times New Roman"/>
                <w:color w:val="000000" w:themeColor="text1"/>
                <w:szCs w:val="21"/>
              </w:rPr>
              <w:t>脱色试验</w:t>
            </w:r>
          </w:p>
        </w:tc>
        <w:tc>
          <w:tcPr>
            <w:tcW w:w="2769" w:type="pct"/>
            <w:shd w:val="clear" w:color="auto" w:fill="auto"/>
            <w:vAlign w:val="center"/>
          </w:tcPr>
          <w:p w14:paraId="5F6A0A90">
            <w:pPr>
              <w:adjustRightInd w:val="0"/>
              <w:snapToGrid w:val="0"/>
              <w:jc w:val="center"/>
              <w:rPr>
                <w:rFonts w:hint="default" w:ascii="Times New Roman" w:hAnsi="Times New Roman" w:cs="Times New Roman"/>
                <w:color w:val="000000" w:themeColor="text1"/>
              </w:rPr>
            </w:pPr>
            <w:r>
              <w:rPr>
                <w:rFonts w:hint="default" w:ascii="Times New Roman" w:hAnsi="Times New Roman" w:cs="Times New Roman"/>
                <w:color w:val="000000" w:themeColor="text1"/>
              </w:rPr>
              <w:t xml:space="preserve">GB </w:t>
            </w:r>
            <w:r>
              <w:rPr>
                <w:rFonts w:hint="default" w:ascii="Times New Roman" w:hAnsi="Times New Roman" w:cs="Times New Roman"/>
                <w:color w:val="000000" w:themeColor="text1"/>
                <w:szCs w:val="21"/>
              </w:rPr>
              <w:t>31604.7</w:t>
            </w:r>
            <w:r>
              <w:rPr>
                <w:rFonts w:hint="default" w:ascii="Times New Roman" w:hAnsi="Times New Roman" w:cs="Times New Roman"/>
                <w:color w:val="000000" w:themeColor="text1"/>
                <w:szCs w:val="21"/>
                <w:lang w:eastAsia="zh-CN"/>
              </w:rPr>
              <w:t>-</w:t>
            </w:r>
            <w:r>
              <w:rPr>
                <w:rFonts w:hint="default" w:ascii="Times New Roman" w:hAnsi="Times New Roman" w:cs="Times New Roman"/>
                <w:color w:val="000000" w:themeColor="text1"/>
                <w:szCs w:val="21"/>
              </w:rPr>
              <w:t>2023</w:t>
            </w:r>
          </w:p>
        </w:tc>
      </w:tr>
      <w:tr w14:paraId="5D17A9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5" w:type="pct"/>
            <w:shd w:val="clear" w:color="auto" w:fill="auto"/>
            <w:vAlign w:val="center"/>
          </w:tcPr>
          <w:p w14:paraId="12E9705A">
            <w:pPr>
              <w:adjustRightInd w:val="0"/>
              <w:snapToGrid w:val="0"/>
              <w:jc w:val="center"/>
              <w:textAlignment w:val="center"/>
              <w:rPr>
                <w:rFonts w:hint="default" w:ascii="Times New Roman" w:hAnsi="Times New Roman" w:cs="Times New Roman"/>
                <w:color w:val="000000" w:themeColor="text1"/>
                <w:kern w:val="0"/>
                <w:lang w:val="en-US" w:eastAsia="zh-CN"/>
              </w:rPr>
            </w:pPr>
            <w:r>
              <w:rPr>
                <w:rFonts w:hint="default" w:ascii="Times New Roman" w:hAnsi="Times New Roman" w:cs="Times New Roman"/>
                <w:color w:val="000000" w:themeColor="text1"/>
                <w:kern w:val="0"/>
                <w:lang w:val="en-US" w:eastAsia="zh-CN"/>
              </w:rPr>
              <w:t>6</w:t>
            </w:r>
          </w:p>
        </w:tc>
        <w:tc>
          <w:tcPr>
            <w:tcW w:w="1855" w:type="pct"/>
            <w:shd w:val="clear" w:color="auto" w:fill="auto"/>
            <w:vAlign w:val="center"/>
          </w:tcPr>
          <w:p w14:paraId="2E5FE8C7">
            <w:pPr>
              <w:widowControl/>
              <w:adjustRightInd w:val="0"/>
              <w:snapToGrid w:val="0"/>
              <w:jc w:val="center"/>
              <w:rPr>
                <w:rFonts w:hint="default" w:ascii="Times New Roman" w:hAnsi="Times New Roman" w:eastAsia="宋体" w:cs="Times New Roman"/>
                <w:color w:val="000000" w:themeColor="text1"/>
                <w:kern w:val="2"/>
                <w:sz w:val="21"/>
                <w:szCs w:val="21"/>
                <w:lang w:val="en-US" w:eastAsia="zh-CN" w:bidi="ar"/>
              </w:rPr>
            </w:pPr>
            <w:r>
              <w:rPr>
                <w:rFonts w:hint="default" w:ascii="Times New Roman" w:hAnsi="Times New Roman" w:cs="Times New Roman"/>
                <w:color w:val="000000" w:themeColor="text1"/>
                <w:szCs w:val="21"/>
                <w:lang w:val="pt-BR" w:bidi="ar"/>
              </w:rPr>
              <w:t>芳香族伯胺迁移总量</w:t>
            </w:r>
          </w:p>
        </w:tc>
        <w:tc>
          <w:tcPr>
            <w:tcW w:w="2769" w:type="pct"/>
            <w:shd w:val="clear" w:color="auto" w:fill="auto"/>
            <w:vAlign w:val="center"/>
          </w:tcPr>
          <w:p w14:paraId="19CB6DDC">
            <w:pPr>
              <w:widowControl/>
              <w:adjustRightInd w:val="0"/>
              <w:snapToGrid w:val="0"/>
              <w:jc w:val="center"/>
              <w:rPr>
                <w:rFonts w:hint="default" w:ascii="Times New Roman" w:hAnsi="Times New Roman" w:eastAsia="宋体" w:cs="Times New Roman"/>
                <w:color w:val="000000" w:themeColor="text1"/>
                <w:kern w:val="2"/>
                <w:sz w:val="21"/>
                <w:szCs w:val="21"/>
                <w:lang w:val="pt-BR" w:eastAsia="zh-CN" w:bidi="ar"/>
              </w:rPr>
            </w:pPr>
            <w:r>
              <w:rPr>
                <w:rFonts w:hint="default" w:ascii="Times New Roman" w:hAnsi="Times New Roman" w:cs="Times New Roman"/>
                <w:color w:val="000000" w:themeColor="text1"/>
                <w:szCs w:val="21"/>
                <w:lang w:val="pt-BR" w:bidi="ar"/>
              </w:rPr>
              <w:t>GB 31604.52</w:t>
            </w:r>
            <w:r>
              <w:rPr>
                <w:rFonts w:hint="default" w:ascii="Times New Roman" w:hAnsi="Times New Roman" w:cs="Times New Roman"/>
                <w:color w:val="000000" w:themeColor="text1"/>
                <w:szCs w:val="21"/>
                <w:lang w:val="en-US" w:eastAsia="zh-CN" w:bidi="ar"/>
              </w:rPr>
              <w:t>-</w:t>
            </w:r>
            <w:r>
              <w:rPr>
                <w:rFonts w:hint="default" w:ascii="Times New Roman" w:hAnsi="Times New Roman" w:cs="Times New Roman"/>
                <w:color w:val="000000" w:themeColor="text1"/>
                <w:szCs w:val="21"/>
                <w:lang w:val="pt-BR" w:bidi="ar"/>
              </w:rPr>
              <w:t>2021</w:t>
            </w:r>
          </w:p>
        </w:tc>
      </w:tr>
      <w:tr w14:paraId="4FB8AE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5" w:type="pct"/>
            <w:shd w:val="clear" w:color="auto" w:fill="auto"/>
            <w:vAlign w:val="center"/>
          </w:tcPr>
          <w:p w14:paraId="328A537A">
            <w:pPr>
              <w:adjustRightInd w:val="0"/>
              <w:snapToGrid w:val="0"/>
              <w:jc w:val="center"/>
              <w:textAlignment w:val="center"/>
              <w:rPr>
                <w:rFonts w:hint="default" w:ascii="Times New Roman" w:hAnsi="Times New Roman" w:cs="Times New Roman"/>
                <w:color w:val="000000" w:themeColor="text1"/>
                <w:kern w:val="0"/>
                <w:lang w:val="en-US" w:eastAsia="zh-CN"/>
              </w:rPr>
            </w:pPr>
            <w:r>
              <w:rPr>
                <w:rFonts w:hint="default" w:ascii="Times New Roman" w:hAnsi="Times New Roman" w:cs="Times New Roman"/>
                <w:color w:val="000000" w:themeColor="text1"/>
                <w:kern w:val="0"/>
                <w:lang w:val="en-US" w:eastAsia="zh-CN"/>
              </w:rPr>
              <w:t>7</w:t>
            </w:r>
          </w:p>
        </w:tc>
        <w:tc>
          <w:tcPr>
            <w:tcW w:w="1855" w:type="pct"/>
            <w:shd w:val="clear" w:color="auto" w:fill="auto"/>
            <w:vAlign w:val="center"/>
          </w:tcPr>
          <w:p w14:paraId="59FD185D">
            <w:pPr>
              <w:widowControl/>
              <w:adjustRightInd w:val="0"/>
              <w:snapToGrid w:val="0"/>
              <w:jc w:val="center"/>
              <w:rPr>
                <w:rFonts w:hint="default" w:ascii="Times New Roman" w:hAnsi="Times New Roman" w:eastAsia="宋体" w:cs="Times New Roman"/>
                <w:color w:val="000000" w:themeColor="text1"/>
                <w:kern w:val="2"/>
                <w:sz w:val="21"/>
                <w:szCs w:val="24"/>
                <w:lang w:val="en-US" w:eastAsia="zh-CN" w:bidi="ar-SA"/>
              </w:rPr>
            </w:pPr>
            <w:r>
              <w:rPr>
                <w:rFonts w:hint="default" w:ascii="Times New Roman" w:hAnsi="Times New Roman" w:cs="Times New Roman"/>
                <w:color w:val="000000" w:themeColor="text1"/>
                <w:szCs w:val="21"/>
                <w:lang w:val="pt-BR" w:bidi="ar"/>
              </w:rPr>
              <w:t>三聚氰胺特定迁移量</w:t>
            </w:r>
          </w:p>
        </w:tc>
        <w:tc>
          <w:tcPr>
            <w:tcW w:w="2769" w:type="pct"/>
            <w:shd w:val="clear" w:color="auto" w:fill="auto"/>
            <w:vAlign w:val="center"/>
          </w:tcPr>
          <w:p w14:paraId="7E50F55D">
            <w:pPr>
              <w:widowControl/>
              <w:adjustRightInd w:val="0"/>
              <w:snapToGrid w:val="0"/>
              <w:jc w:val="center"/>
              <w:rPr>
                <w:rFonts w:hint="default" w:ascii="Times New Roman" w:hAnsi="Times New Roman" w:eastAsia="宋体" w:cs="Times New Roman"/>
                <w:color w:val="000000" w:themeColor="text1"/>
                <w:kern w:val="2"/>
                <w:sz w:val="21"/>
                <w:szCs w:val="21"/>
                <w:lang w:val="pt-BR" w:eastAsia="zh-CN" w:bidi="ar"/>
              </w:rPr>
            </w:pPr>
            <w:r>
              <w:rPr>
                <w:rFonts w:hint="default" w:ascii="Times New Roman" w:hAnsi="Times New Roman" w:cs="Times New Roman"/>
                <w:color w:val="000000" w:themeColor="text1"/>
                <w:lang w:val="pt-BR"/>
              </w:rPr>
              <w:t>GB 31604.15</w:t>
            </w:r>
            <w:r>
              <w:rPr>
                <w:rFonts w:hint="default" w:ascii="Times New Roman" w:hAnsi="Times New Roman" w:cs="Times New Roman"/>
                <w:color w:val="000000" w:themeColor="text1"/>
                <w:lang w:val="en-US" w:eastAsia="zh-CN"/>
              </w:rPr>
              <w:t>-</w:t>
            </w:r>
            <w:r>
              <w:rPr>
                <w:rFonts w:hint="default" w:ascii="Times New Roman" w:hAnsi="Times New Roman" w:cs="Times New Roman"/>
                <w:color w:val="000000" w:themeColor="text1"/>
                <w:lang w:val="pt-BR"/>
              </w:rPr>
              <w:t xml:space="preserve">2016 </w:t>
            </w:r>
          </w:p>
        </w:tc>
      </w:tr>
      <w:tr w14:paraId="711C9E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5" w:type="pct"/>
            <w:shd w:val="clear" w:color="auto" w:fill="auto"/>
            <w:vAlign w:val="center"/>
          </w:tcPr>
          <w:p w14:paraId="30142E0F">
            <w:pPr>
              <w:adjustRightInd w:val="0"/>
              <w:snapToGrid w:val="0"/>
              <w:jc w:val="center"/>
              <w:textAlignment w:val="center"/>
              <w:rPr>
                <w:rFonts w:hint="default" w:ascii="Times New Roman" w:hAnsi="Times New Roman" w:cs="Times New Roman"/>
                <w:color w:val="000000" w:themeColor="text1"/>
                <w:kern w:val="0"/>
                <w:lang w:val="en-US" w:eastAsia="zh-CN"/>
              </w:rPr>
            </w:pPr>
            <w:r>
              <w:rPr>
                <w:rFonts w:hint="eastAsia" w:cs="Times New Roman"/>
                <w:color w:val="000000" w:themeColor="text1"/>
                <w:kern w:val="0"/>
                <w:lang w:val="en-US" w:eastAsia="zh-CN"/>
              </w:rPr>
              <w:t>8</w:t>
            </w:r>
          </w:p>
        </w:tc>
        <w:tc>
          <w:tcPr>
            <w:tcW w:w="1855" w:type="pct"/>
            <w:shd w:val="clear" w:color="auto" w:fill="auto"/>
            <w:vAlign w:val="center"/>
          </w:tcPr>
          <w:p w14:paraId="50CC5A7C">
            <w:pPr>
              <w:widowControl/>
              <w:adjustRightInd w:val="0"/>
              <w:snapToGrid w:val="0"/>
              <w:jc w:val="center"/>
              <w:rPr>
                <w:rFonts w:hint="default" w:ascii="Times New Roman" w:hAnsi="Times New Roman" w:eastAsia="宋体" w:cs="Times New Roman"/>
                <w:color w:val="000000" w:themeColor="text1"/>
                <w:kern w:val="2"/>
                <w:sz w:val="21"/>
                <w:szCs w:val="24"/>
                <w:lang w:val="pt-BR" w:eastAsia="zh-CN" w:bidi="ar-SA"/>
              </w:rPr>
            </w:pPr>
            <w:r>
              <w:rPr>
                <w:rFonts w:hint="eastAsia"/>
                <w:color w:val="000000" w:themeColor="text1"/>
                <w:lang w:val="pt-BR"/>
              </w:rPr>
              <w:t>特定迁移总量（以甲醛计）</w:t>
            </w:r>
          </w:p>
        </w:tc>
        <w:tc>
          <w:tcPr>
            <w:tcW w:w="2769" w:type="pct"/>
            <w:shd w:val="clear" w:color="auto" w:fill="auto"/>
            <w:vAlign w:val="center"/>
          </w:tcPr>
          <w:p w14:paraId="26595868">
            <w:pPr>
              <w:widowControl/>
              <w:adjustRightInd w:val="0"/>
              <w:snapToGrid w:val="0"/>
              <w:jc w:val="center"/>
              <w:rPr>
                <w:rFonts w:hint="default" w:ascii="Times New Roman" w:hAnsi="Times New Roman" w:eastAsia="宋体" w:cs="仿宋"/>
                <w:color w:val="000000" w:themeColor="text1"/>
                <w:kern w:val="2"/>
                <w:sz w:val="21"/>
                <w:szCs w:val="21"/>
                <w:lang w:val="pt-BR" w:eastAsia="zh-CN" w:bidi="ar"/>
              </w:rPr>
            </w:pPr>
            <w:r>
              <w:rPr>
                <w:color w:val="000000" w:themeColor="text1"/>
                <w:lang w:val="pt-BR"/>
              </w:rPr>
              <w:t>GB 31604.48</w:t>
            </w:r>
            <w:r>
              <w:rPr>
                <w:rFonts w:hint="eastAsia"/>
                <w:color w:val="000000" w:themeColor="text1"/>
                <w:lang w:val="en-US" w:eastAsia="zh-CN"/>
              </w:rPr>
              <w:t>-</w:t>
            </w:r>
            <w:r>
              <w:rPr>
                <w:color w:val="000000" w:themeColor="text1"/>
                <w:lang w:val="pt-BR"/>
              </w:rPr>
              <w:t xml:space="preserve">2016 </w:t>
            </w:r>
          </w:p>
        </w:tc>
      </w:tr>
      <w:tr w14:paraId="6FDB8E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000" w:type="pct"/>
            <w:gridSpan w:val="3"/>
          </w:tcPr>
          <w:p w14:paraId="2A0B41E9">
            <w:pPr>
              <w:adjustRightInd w:val="0"/>
              <w:snapToGrid w:val="0"/>
              <w:jc w:val="left"/>
              <w:rPr>
                <w:rFonts w:hint="default" w:ascii="Times New Roman" w:hAnsi="Times New Roman" w:cs="Times New Roman"/>
                <w:color w:val="000000"/>
              </w:rPr>
            </w:pPr>
            <w:r>
              <w:rPr>
                <w:rFonts w:hint="default" w:ascii="Times New Roman" w:hAnsi="Times New Roman" w:cs="Times New Roman"/>
                <w:color w:val="000000" w:themeColor="text1"/>
                <w:kern w:val="0"/>
                <w:szCs w:val="21"/>
              </w:rPr>
              <w:t>注：</w:t>
            </w:r>
            <w:r>
              <w:rPr>
                <w:rFonts w:hint="default" w:ascii="Times New Roman" w:hAnsi="Times New Roman" w:cs="Times New Roman"/>
                <w:color w:val="000000"/>
                <w:szCs w:val="21"/>
              </w:rPr>
              <w:t>1.</w:t>
            </w:r>
            <w:r>
              <w:rPr>
                <w:rFonts w:hint="default" w:ascii="Times New Roman" w:hAnsi="Times New Roman" w:cs="Times New Roman"/>
                <w:color w:val="000000"/>
              </w:rPr>
              <w:t>芳香族伯胺迁移总量适用于含有芳香族异氰酸酯和偶氮类着色剂等可能产生芳香族伯胺类物质的产品。</w:t>
            </w:r>
          </w:p>
          <w:p w14:paraId="07B66D63">
            <w:pPr>
              <w:numPr>
                <w:ilvl w:val="0"/>
                <w:numId w:val="0"/>
              </w:numPr>
              <w:adjustRightInd w:val="0"/>
              <w:snapToGrid w:val="0"/>
              <w:ind w:firstLine="420" w:firstLineChars="200"/>
              <w:rPr>
                <w:rFonts w:hint="default" w:ascii="Times New Roman" w:hAnsi="Times New Roman" w:cs="Times New Roman"/>
                <w:color w:val="000000"/>
              </w:rPr>
            </w:pPr>
            <w:r>
              <w:rPr>
                <w:rFonts w:hint="default" w:ascii="Times New Roman" w:hAnsi="Times New Roman" w:cs="Times New Roman"/>
                <w:color w:val="000000"/>
                <w:lang w:val="en-US" w:eastAsia="zh-CN"/>
              </w:rPr>
              <w:t>2.</w:t>
            </w:r>
            <w:r>
              <w:rPr>
                <w:rFonts w:hint="default" w:ascii="Times New Roman" w:hAnsi="Times New Roman" w:cs="Times New Roman"/>
                <w:color w:val="000000"/>
              </w:rPr>
              <w:t>脱色试验仅适用于添加了着色剂的产品。</w:t>
            </w:r>
          </w:p>
          <w:p w14:paraId="74161A82">
            <w:pPr>
              <w:numPr>
                <w:ilvl w:val="0"/>
                <w:numId w:val="0"/>
              </w:numPr>
              <w:adjustRightInd w:val="0"/>
              <w:snapToGrid w:val="0"/>
              <w:rPr>
                <w:rFonts w:hint="default" w:ascii="Times New Roman" w:hAnsi="Times New Roman" w:cs="Times New Roman"/>
                <w:color w:val="000000"/>
              </w:rPr>
            </w:pPr>
            <w:r>
              <w:rPr>
                <w:rFonts w:hint="default" w:ascii="Times New Roman" w:hAnsi="Times New Roman" w:cs="Times New Roman"/>
                <w:color w:val="000000"/>
                <w:lang w:val="en-US" w:eastAsia="zh-CN"/>
              </w:rPr>
              <w:t xml:space="preserve">    3.</w:t>
            </w:r>
            <w:r>
              <w:rPr>
                <w:rFonts w:hint="default" w:ascii="Times New Roman" w:hAnsi="Times New Roman" w:cs="Times New Roman"/>
                <w:color w:val="000000" w:themeColor="text1"/>
                <w:szCs w:val="21"/>
                <w:lang w:val="pt-BR" w:bidi="ar"/>
              </w:rPr>
              <w:t>三聚氰胺特定迁移量</w:t>
            </w:r>
            <w:r>
              <w:rPr>
                <w:rFonts w:hint="eastAsia" w:cs="Times New Roman"/>
                <w:color w:val="000000" w:themeColor="text1"/>
                <w:szCs w:val="21"/>
                <w:lang w:val="pt-BR" w:eastAsia="zh-CN" w:bidi="ar"/>
              </w:rPr>
              <w:t>、</w:t>
            </w:r>
            <w:r>
              <w:rPr>
                <w:rFonts w:hint="eastAsia"/>
                <w:color w:val="000000" w:themeColor="text1"/>
                <w:lang w:val="pt-BR"/>
              </w:rPr>
              <w:t>特定迁移总量（以甲醛计）</w:t>
            </w:r>
            <w:r>
              <w:rPr>
                <w:rFonts w:hint="default" w:ascii="Times New Roman" w:hAnsi="Times New Roman" w:cs="Times New Roman"/>
                <w:color w:val="000000" w:themeColor="text1"/>
                <w:szCs w:val="21"/>
                <w:lang w:val="en-US" w:eastAsia="zh-CN" w:bidi="ar"/>
              </w:rPr>
              <w:t>适用</w:t>
            </w:r>
            <w:r>
              <w:rPr>
                <w:rFonts w:hint="default" w:ascii="Times New Roman" w:hAnsi="Times New Roman" w:cs="Times New Roman"/>
                <w:color w:val="000000"/>
                <w:lang w:val="en-US" w:eastAsia="zh-CN"/>
              </w:rPr>
              <w:t>于</w:t>
            </w:r>
            <w:r>
              <w:rPr>
                <w:rFonts w:hint="default" w:ascii="Times New Roman" w:hAnsi="Times New Roman" w:cs="Times New Roman"/>
                <w:color w:val="000000"/>
              </w:rPr>
              <w:t>密胺</w:t>
            </w:r>
            <w:r>
              <w:rPr>
                <w:rFonts w:hint="default" w:ascii="Times New Roman" w:hAnsi="Times New Roman" w:cs="Times New Roman"/>
                <w:color w:val="000000"/>
                <w:lang w:val="en-US" w:eastAsia="zh-CN"/>
              </w:rPr>
              <w:t>树脂材质（MF）的产品。</w:t>
            </w:r>
          </w:p>
        </w:tc>
      </w:tr>
    </w:tbl>
    <w:p w14:paraId="469F82D5">
      <w:pPr>
        <w:snapToGrid w:val="0"/>
        <w:spacing w:line="440" w:lineRule="exact"/>
        <w:jc w:val="center"/>
        <w:rPr>
          <w:rFonts w:hint="default" w:ascii="Times New Roman" w:hAnsi="Times New Roman" w:cs="Times New Roman"/>
          <w:color w:val="000000"/>
          <w:kern w:val="0"/>
        </w:rPr>
      </w:pPr>
    </w:p>
    <w:p w14:paraId="0732A080">
      <w:pPr>
        <w:snapToGrid w:val="0"/>
        <w:spacing w:line="440" w:lineRule="exact"/>
        <w:jc w:val="center"/>
        <w:rPr>
          <w:rFonts w:hint="default" w:ascii="Times New Roman" w:hAnsi="Times New Roman" w:cs="Times New Roman"/>
          <w:color w:val="000000"/>
          <w:kern w:val="0"/>
        </w:rPr>
      </w:pPr>
      <w:r>
        <w:rPr>
          <w:rFonts w:hint="default" w:ascii="Times New Roman" w:hAnsi="Times New Roman" w:cs="Times New Roman"/>
          <w:color w:val="000000"/>
          <w:kern w:val="0"/>
        </w:rPr>
        <w:t xml:space="preserve">表2  </w:t>
      </w:r>
      <w:r>
        <w:rPr>
          <w:rFonts w:hint="default" w:ascii="Times New Roman" w:hAnsi="Times New Roman" w:cs="Times New Roman"/>
          <w:color w:val="000000"/>
          <w:kern w:val="0"/>
          <w:szCs w:val="21"/>
          <w:lang w:val="en-US" w:eastAsia="zh-CN"/>
        </w:rPr>
        <w:t>不锈钢材质儿童餐具</w:t>
      </w:r>
    </w:p>
    <w:tbl>
      <w:tblPr>
        <w:tblStyle w:val="9"/>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3"/>
        <w:gridCol w:w="1904"/>
        <w:gridCol w:w="6417"/>
      </w:tblGrid>
      <w:tr w14:paraId="64C12D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blHeader/>
        </w:trPr>
        <w:tc>
          <w:tcPr>
            <w:tcW w:w="465" w:type="pct"/>
            <w:vAlign w:val="center"/>
          </w:tcPr>
          <w:p w14:paraId="2BC9F88A">
            <w:pPr>
              <w:snapToGrid w:val="0"/>
              <w:spacing w:line="440" w:lineRule="exact"/>
              <w:jc w:val="center"/>
              <w:rPr>
                <w:rFonts w:hint="default" w:ascii="Times New Roman" w:hAnsi="Times New Roman" w:cs="Times New Roman"/>
                <w:color w:val="000000"/>
                <w:szCs w:val="21"/>
              </w:rPr>
            </w:pPr>
            <w:r>
              <w:rPr>
                <w:rFonts w:hint="default" w:ascii="Times New Roman" w:hAnsi="Times New Roman" w:cs="Times New Roman"/>
                <w:color w:val="000000"/>
                <w:szCs w:val="21"/>
              </w:rPr>
              <w:t>序号</w:t>
            </w:r>
          </w:p>
        </w:tc>
        <w:tc>
          <w:tcPr>
            <w:tcW w:w="1037" w:type="pct"/>
            <w:vAlign w:val="center"/>
          </w:tcPr>
          <w:p w14:paraId="0F49AE6F">
            <w:pPr>
              <w:snapToGrid w:val="0"/>
              <w:spacing w:line="440" w:lineRule="exact"/>
              <w:jc w:val="center"/>
              <w:rPr>
                <w:rFonts w:hint="default" w:ascii="Times New Roman" w:hAnsi="Times New Roman" w:cs="Times New Roman"/>
                <w:color w:val="000000"/>
                <w:szCs w:val="21"/>
              </w:rPr>
            </w:pPr>
            <w:r>
              <w:rPr>
                <w:rFonts w:hint="default" w:ascii="Times New Roman" w:hAnsi="Times New Roman" w:cs="Times New Roman"/>
                <w:color w:val="000000"/>
                <w:szCs w:val="21"/>
              </w:rPr>
              <w:t>检验项目</w:t>
            </w:r>
          </w:p>
        </w:tc>
        <w:tc>
          <w:tcPr>
            <w:tcW w:w="3496" w:type="pct"/>
            <w:vAlign w:val="center"/>
          </w:tcPr>
          <w:p w14:paraId="07624AA8">
            <w:pPr>
              <w:snapToGrid w:val="0"/>
              <w:spacing w:line="440" w:lineRule="exact"/>
              <w:jc w:val="center"/>
              <w:rPr>
                <w:rFonts w:hint="default" w:ascii="Times New Roman" w:hAnsi="Times New Roman" w:cs="Times New Roman"/>
                <w:color w:val="000000"/>
                <w:szCs w:val="21"/>
              </w:rPr>
            </w:pPr>
            <w:r>
              <w:rPr>
                <w:rFonts w:hint="default" w:ascii="Times New Roman" w:hAnsi="Times New Roman" w:cs="Times New Roman"/>
                <w:color w:val="000000"/>
                <w:szCs w:val="21"/>
              </w:rPr>
              <w:t>检验方法</w:t>
            </w:r>
          </w:p>
        </w:tc>
      </w:tr>
      <w:tr w14:paraId="2727AA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65" w:type="pct"/>
            <w:shd w:val="clear" w:color="auto" w:fill="auto"/>
            <w:vAlign w:val="center"/>
          </w:tcPr>
          <w:p w14:paraId="1332B67B">
            <w:pPr>
              <w:snapToGrid w:val="0"/>
              <w:spacing w:line="440" w:lineRule="exact"/>
              <w:jc w:val="center"/>
              <w:rPr>
                <w:rFonts w:hint="default" w:ascii="Times New Roman" w:hAnsi="Times New Roman" w:eastAsia="宋体" w:cs="Times New Roman"/>
                <w:color w:val="000000"/>
                <w:kern w:val="2"/>
                <w:sz w:val="21"/>
                <w:szCs w:val="21"/>
                <w:lang w:val="en-US" w:eastAsia="zh-CN" w:bidi="ar-SA"/>
              </w:rPr>
            </w:pPr>
            <w:r>
              <w:rPr>
                <w:rFonts w:hint="default" w:ascii="Times New Roman" w:hAnsi="Times New Roman" w:cs="Times New Roman"/>
                <w:color w:val="000000"/>
                <w:szCs w:val="21"/>
              </w:rPr>
              <w:t>1</w:t>
            </w:r>
          </w:p>
        </w:tc>
        <w:tc>
          <w:tcPr>
            <w:tcW w:w="1037" w:type="pct"/>
            <w:shd w:val="clear" w:color="auto" w:fill="auto"/>
            <w:vAlign w:val="center"/>
          </w:tcPr>
          <w:p w14:paraId="642C250C">
            <w:pPr>
              <w:adjustRightInd w:val="0"/>
              <w:snapToGrid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Cs w:val="21"/>
              </w:rPr>
              <w:t>感官要求</w:t>
            </w:r>
          </w:p>
        </w:tc>
        <w:tc>
          <w:tcPr>
            <w:tcW w:w="3496" w:type="pct"/>
            <w:shd w:val="clear" w:color="auto" w:fill="auto"/>
            <w:vAlign w:val="center"/>
          </w:tcPr>
          <w:p w14:paraId="3CC5BEAF">
            <w:pPr>
              <w:adjustRightInd w:val="0"/>
              <w:snapToGrid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Cs w:val="21"/>
              </w:rPr>
              <w:t>GB 4806.9</w:t>
            </w:r>
            <w:r>
              <w:rPr>
                <w:rFonts w:hint="default" w:ascii="Times New Roman" w:hAnsi="Times New Roman" w:cs="Times New Roman"/>
                <w:szCs w:val="21"/>
                <w:lang w:val="en-US" w:eastAsia="zh-CN"/>
              </w:rPr>
              <w:t>-</w:t>
            </w:r>
            <w:r>
              <w:rPr>
                <w:rFonts w:hint="default" w:ascii="Times New Roman" w:hAnsi="Times New Roman" w:cs="Times New Roman"/>
                <w:szCs w:val="21"/>
              </w:rPr>
              <w:t>2023</w:t>
            </w:r>
          </w:p>
        </w:tc>
      </w:tr>
      <w:tr w14:paraId="05DADF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65" w:type="pct"/>
            <w:shd w:val="clear" w:color="auto" w:fill="auto"/>
            <w:vAlign w:val="center"/>
          </w:tcPr>
          <w:p w14:paraId="360812BD">
            <w:pPr>
              <w:snapToGrid w:val="0"/>
              <w:spacing w:line="440" w:lineRule="exact"/>
              <w:jc w:val="center"/>
              <w:rPr>
                <w:rFonts w:hint="default" w:ascii="Times New Roman" w:hAnsi="Times New Roman" w:eastAsia="宋体" w:cs="Times New Roman"/>
                <w:color w:val="000000"/>
                <w:kern w:val="2"/>
                <w:sz w:val="21"/>
                <w:szCs w:val="21"/>
                <w:lang w:val="en-US" w:eastAsia="zh-CN" w:bidi="ar-SA"/>
              </w:rPr>
            </w:pPr>
            <w:r>
              <w:rPr>
                <w:rFonts w:hint="default" w:ascii="Times New Roman" w:hAnsi="Times New Roman" w:cs="Times New Roman"/>
                <w:color w:val="000000"/>
                <w:szCs w:val="21"/>
              </w:rPr>
              <w:t>2</w:t>
            </w:r>
          </w:p>
        </w:tc>
        <w:tc>
          <w:tcPr>
            <w:tcW w:w="1037" w:type="pct"/>
            <w:shd w:val="clear" w:color="auto" w:fill="auto"/>
            <w:vAlign w:val="center"/>
          </w:tcPr>
          <w:p w14:paraId="4C3BBD51">
            <w:pPr>
              <w:adjustRightInd w:val="0"/>
              <w:snapToGrid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Cs w:val="21"/>
              </w:rPr>
              <w:t>砷</w:t>
            </w:r>
          </w:p>
        </w:tc>
        <w:tc>
          <w:tcPr>
            <w:tcW w:w="3496" w:type="pct"/>
            <w:shd w:val="clear" w:color="auto" w:fill="auto"/>
            <w:vAlign w:val="center"/>
          </w:tcPr>
          <w:p w14:paraId="1276102B">
            <w:pPr>
              <w:adjustRightInd w:val="0"/>
              <w:snapToGrid w:val="0"/>
              <w:jc w:val="center"/>
              <w:rPr>
                <w:rFonts w:hint="default" w:ascii="Times New Roman" w:hAnsi="Times New Roman" w:cs="Times New Roman"/>
                <w:szCs w:val="21"/>
              </w:rPr>
            </w:pPr>
            <w:r>
              <w:rPr>
                <w:rFonts w:hint="default" w:ascii="Times New Roman" w:hAnsi="Times New Roman" w:cs="Times New Roman"/>
                <w:szCs w:val="21"/>
              </w:rPr>
              <w:t>GB 31604.38</w:t>
            </w:r>
            <w:r>
              <w:rPr>
                <w:rFonts w:hint="default" w:ascii="Times New Roman" w:hAnsi="Times New Roman" w:cs="Times New Roman"/>
                <w:szCs w:val="21"/>
                <w:lang w:eastAsia="zh-CN"/>
              </w:rPr>
              <w:t>-</w:t>
            </w:r>
            <w:r>
              <w:rPr>
                <w:rFonts w:hint="default" w:ascii="Times New Roman" w:hAnsi="Times New Roman" w:cs="Times New Roman"/>
                <w:szCs w:val="21"/>
              </w:rPr>
              <w:t>2016第二部分或</w:t>
            </w:r>
          </w:p>
          <w:p w14:paraId="58FF7035">
            <w:pPr>
              <w:adjustRightInd w:val="0"/>
              <w:snapToGrid w:val="0"/>
              <w:jc w:val="center"/>
              <w:rPr>
                <w:rFonts w:hint="default" w:ascii="Times New Roman" w:hAnsi="Times New Roman" w:cs="Times New Roman"/>
                <w:szCs w:val="21"/>
              </w:rPr>
            </w:pPr>
            <w:r>
              <w:rPr>
                <w:rFonts w:hint="default" w:ascii="Times New Roman" w:hAnsi="Times New Roman" w:cs="Times New Roman"/>
                <w:szCs w:val="21"/>
              </w:rPr>
              <w:t>GB 31604.49</w:t>
            </w:r>
            <w:r>
              <w:rPr>
                <w:rFonts w:hint="default" w:ascii="Times New Roman" w:hAnsi="Times New Roman" w:cs="Times New Roman"/>
                <w:szCs w:val="21"/>
                <w:lang w:eastAsia="zh-CN"/>
              </w:rPr>
              <w:t>-</w:t>
            </w:r>
            <w:r>
              <w:rPr>
                <w:rFonts w:hint="default" w:ascii="Times New Roman" w:hAnsi="Times New Roman" w:cs="Times New Roman"/>
                <w:szCs w:val="21"/>
              </w:rPr>
              <w:t>2016第二部分</w:t>
            </w:r>
          </w:p>
          <w:p w14:paraId="54318944">
            <w:pPr>
              <w:adjustRightInd w:val="0"/>
              <w:snapToGrid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Cs w:val="21"/>
              </w:rPr>
              <w:t>GB 31604.49</w:t>
            </w:r>
            <w:r>
              <w:rPr>
                <w:rFonts w:hint="default" w:ascii="Times New Roman" w:hAnsi="Times New Roman" w:cs="Times New Roman"/>
                <w:szCs w:val="21"/>
                <w:lang w:eastAsia="zh-CN"/>
              </w:rPr>
              <w:t>-</w:t>
            </w:r>
            <w:r>
              <w:rPr>
                <w:rFonts w:hint="default" w:ascii="Times New Roman" w:hAnsi="Times New Roman" w:cs="Times New Roman"/>
                <w:szCs w:val="21"/>
              </w:rPr>
              <w:t>2023 第二篇</w:t>
            </w:r>
          </w:p>
        </w:tc>
      </w:tr>
      <w:tr w14:paraId="43825E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65" w:type="pct"/>
            <w:shd w:val="clear" w:color="auto" w:fill="auto"/>
            <w:vAlign w:val="center"/>
          </w:tcPr>
          <w:p w14:paraId="2CB2B223">
            <w:pPr>
              <w:snapToGrid w:val="0"/>
              <w:spacing w:line="440" w:lineRule="exact"/>
              <w:jc w:val="center"/>
              <w:rPr>
                <w:rFonts w:hint="default" w:ascii="Times New Roman" w:hAnsi="Times New Roman" w:eastAsia="宋体" w:cs="Times New Roman"/>
                <w:color w:val="000000"/>
                <w:kern w:val="2"/>
                <w:sz w:val="21"/>
                <w:szCs w:val="21"/>
                <w:lang w:val="en-US" w:eastAsia="zh-CN" w:bidi="ar-SA"/>
              </w:rPr>
            </w:pPr>
            <w:r>
              <w:rPr>
                <w:rFonts w:hint="default" w:ascii="Times New Roman" w:hAnsi="Times New Roman" w:cs="Times New Roman"/>
                <w:color w:val="000000"/>
                <w:szCs w:val="21"/>
              </w:rPr>
              <w:t>3</w:t>
            </w:r>
          </w:p>
        </w:tc>
        <w:tc>
          <w:tcPr>
            <w:tcW w:w="1037" w:type="pct"/>
            <w:shd w:val="clear" w:color="auto" w:fill="auto"/>
            <w:vAlign w:val="center"/>
          </w:tcPr>
          <w:p w14:paraId="4CEA4DC0">
            <w:pPr>
              <w:adjustRightInd w:val="0"/>
              <w:snapToGrid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Cs w:val="21"/>
              </w:rPr>
              <w:t>镉</w:t>
            </w:r>
          </w:p>
        </w:tc>
        <w:tc>
          <w:tcPr>
            <w:tcW w:w="3496" w:type="pct"/>
            <w:shd w:val="clear" w:color="auto" w:fill="auto"/>
            <w:vAlign w:val="center"/>
          </w:tcPr>
          <w:p w14:paraId="75E1094D">
            <w:pPr>
              <w:adjustRightInd w:val="0"/>
              <w:snapToGrid w:val="0"/>
              <w:jc w:val="center"/>
              <w:rPr>
                <w:rFonts w:hint="default" w:ascii="Times New Roman" w:hAnsi="Times New Roman" w:cs="Times New Roman"/>
                <w:szCs w:val="21"/>
              </w:rPr>
            </w:pPr>
            <w:r>
              <w:rPr>
                <w:rFonts w:hint="default" w:ascii="Times New Roman" w:hAnsi="Times New Roman" w:cs="Times New Roman"/>
                <w:szCs w:val="21"/>
              </w:rPr>
              <w:t>GB 31604.24</w:t>
            </w:r>
            <w:r>
              <w:rPr>
                <w:rFonts w:hint="default" w:ascii="Times New Roman" w:hAnsi="Times New Roman" w:cs="Times New Roman"/>
                <w:szCs w:val="21"/>
                <w:lang w:eastAsia="zh-CN"/>
              </w:rPr>
              <w:t>-</w:t>
            </w:r>
            <w:r>
              <w:rPr>
                <w:rFonts w:hint="default" w:ascii="Times New Roman" w:hAnsi="Times New Roman" w:cs="Times New Roman"/>
                <w:szCs w:val="21"/>
              </w:rPr>
              <w:t>2016或</w:t>
            </w:r>
          </w:p>
          <w:p w14:paraId="1F6B441E">
            <w:pPr>
              <w:adjustRightInd w:val="0"/>
              <w:snapToGrid w:val="0"/>
              <w:jc w:val="center"/>
              <w:rPr>
                <w:rFonts w:hint="default" w:ascii="Times New Roman" w:hAnsi="Times New Roman" w:cs="Times New Roman"/>
                <w:szCs w:val="21"/>
              </w:rPr>
            </w:pPr>
            <w:r>
              <w:rPr>
                <w:rFonts w:hint="default" w:ascii="Times New Roman" w:hAnsi="Times New Roman" w:cs="Times New Roman"/>
                <w:szCs w:val="21"/>
              </w:rPr>
              <w:t>GB 31604.49</w:t>
            </w:r>
            <w:r>
              <w:rPr>
                <w:rFonts w:hint="default" w:ascii="Times New Roman" w:hAnsi="Times New Roman" w:cs="Times New Roman"/>
                <w:szCs w:val="21"/>
                <w:lang w:eastAsia="zh-CN"/>
              </w:rPr>
              <w:t>-</w:t>
            </w:r>
            <w:r>
              <w:rPr>
                <w:rFonts w:hint="default" w:ascii="Times New Roman" w:hAnsi="Times New Roman" w:cs="Times New Roman"/>
                <w:szCs w:val="21"/>
              </w:rPr>
              <w:t>2016第二部分</w:t>
            </w:r>
          </w:p>
          <w:p w14:paraId="76FB393C">
            <w:pPr>
              <w:adjustRightInd w:val="0"/>
              <w:snapToGrid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Cs w:val="21"/>
              </w:rPr>
              <w:t>GB 31604.49</w:t>
            </w:r>
            <w:r>
              <w:rPr>
                <w:rFonts w:hint="default" w:ascii="Times New Roman" w:hAnsi="Times New Roman" w:cs="Times New Roman"/>
                <w:szCs w:val="21"/>
                <w:lang w:eastAsia="zh-CN"/>
              </w:rPr>
              <w:t>-</w:t>
            </w:r>
            <w:r>
              <w:rPr>
                <w:rFonts w:hint="default" w:ascii="Times New Roman" w:hAnsi="Times New Roman" w:cs="Times New Roman"/>
                <w:szCs w:val="21"/>
              </w:rPr>
              <w:t>2023 第二篇</w:t>
            </w:r>
          </w:p>
        </w:tc>
      </w:tr>
      <w:tr w14:paraId="64EF72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65" w:type="pct"/>
            <w:shd w:val="clear" w:color="auto" w:fill="auto"/>
            <w:vAlign w:val="center"/>
          </w:tcPr>
          <w:p w14:paraId="0C76AEC5">
            <w:pPr>
              <w:snapToGrid w:val="0"/>
              <w:spacing w:line="440" w:lineRule="exact"/>
              <w:jc w:val="center"/>
              <w:rPr>
                <w:rFonts w:hint="default" w:ascii="Times New Roman" w:hAnsi="Times New Roman" w:eastAsia="宋体" w:cs="Times New Roman"/>
                <w:color w:val="000000"/>
                <w:kern w:val="2"/>
                <w:sz w:val="21"/>
                <w:szCs w:val="21"/>
                <w:lang w:val="en-US" w:eastAsia="zh-CN" w:bidi="ar-SA"/>
              </w:rPr>
            </w:pPr>
            <w:r>
              <w:rPr>
                <w:rFonts w:hint="default" w:ascii="Times New Roman" w:hAnsi="Times New Roman" w:cs="Times New Roman"/>
                <w:color w:val="000000"/>
                <w:szCs w:val="21"/>
              </w:rPr>
              <w:t>4</w:t>
            </w:r>
          </w:p>
        </w:tc>
        <w:tc>
          <w:tcPr>
            <w:tcW w:w="1037" w:type="pct"/>
            <w:shd w:val="clear" w:color="auto" w:fill="auto"/>
            <w:vAlign w:val="center"/>
          </w:tcPr>
          <w:p w14:paraId="272798F0">
            <w:pPr>
              <w:adjustRightInd w:val="0"/>
              <w:snapToGrid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Cs w:val="21"/>
              </w:rPr>
              <w:t>镍</w:t>
            </w:r>
          </w:p>
        </w:tc>
        <w:tc>
          <w:tcPr>
            <w:tcW w:w="3496" w:type="pct"/>
            <w:shd w:val="clear" w:color="auto" w:fill="auto"/>
            <w:vAlign w:val="center"/>
          </w:tcPr>
          <w:p w14:paraId="36554AA3">
            <w:pPr>
              <w:adjustRightInd w:val="0"/>
              <w:snapToGrid w:val="0"/>
              <w:jc w:val="center"/>
              <w:rPr>
                <w:rFonts w:hint="default" w:ascii="Times New Roman" w:hAnsi="Times New Roman" w:cs="Times New Roman"/>
                <w:szCs w:val="21"/>
              </w:rPr>
            </w:pPr>
            <w:r>
              <w:rPr>
                <w:rFonts w:hint="default" w:ascii="Times New Roman" w:hAnsi="Times New Roman" w:cs="Times New Roman"/>
                <w:szCs w:val="21"/>
              </w:rPr>
              <w:t>GB 31604.33</w:t>
            </w:r>
            <w:r>
              <w:rPr>
                <w:rFonts w:hint="default" w:ascii="Times New Roman" w:hAnsi="Times New Roman" w:cs="Times New Roman"/>
                <w:szCs w:val="21"/>
                <w:lang w:eastAsia="zh-CN"/>
              </w:rPr>
              <w:t>-</w:t>
            </w:r>
            <w:r>
              <w:rPr>
                <w:rFonts w:hint="default" w:ascii="Times New Roman" w:hAnsi="Times New Roman" w:cs="Times New Roman"/>
                <w:szCs w:val="21"/>
              </w:rPr>
              <w:t>2016或</w:t>
            </w:r>
          </w:p>
          <w:p w14:paraId="08B2C670">
            <w:pPr>
              <w:adjustRightInd w:val="0"/>
              <w:snapToGrid w:val="0"/>
              <w:jc w:val="center"/>
              <w:rPr>
                <w:rFonts w:hint="default" w:ascii="Times New Roman" w:hAnsi="Times New Roman" w:cs="Times New Roman"/>
                <w:szCs w:val="21"/>
              </w:rPr>
            </w:pPr>
            <w:r>
              <w:rPr>
                <w:rFonts w:hint="default" w:ascii="Times New Roman" w:hAnsi="Times New Roman" w:cs="Times New Roman"/>
                <w:szCs w:val="21"/>
              </w:rPr>
              <w:t>GB 31604.49</w:t>
            </w:r>
            <w:r>
              <w:rPr>
                <w:rFonts w:hint="default" w:ascii="Times New Roman" w:hAnsi="Times New Roman" w:cs="Times New Roman"/>
                <w:szCs w:val="21"/>
                <w:lang w:eastAsia="zh-CN"/>
              </w:rPr>
              <w:t>-</w:t>
            </w:r>
            <w:r>
              <w:rPr>
                <w:rFonts w:hint="default" w:ascii="Times New Roman" w:hAnsi="Times New Roman" w:cs="Times New Roman"/>
                <w:szCs w:val="21"/>
              </w:rPr>
              <w:t>2016第二部分</w:t>
            </w:r>
          </w:p>
          <w:p w14:paraId="5F14B2FB">
            <w:pPr>
              <w:adjustRightInd w:val="0"/>
              <w:snapToGrid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Cs w:val="21"/>
              </w:rPr>
              <w:t>GB 31604.49</w:t>
            </w:r>
            <w:r>
              <w:rPr>
                <w:rFonts w:hint="default" w:ascii="Times New Roman" w:hAnsi="Times New Roman" w:cs="Times New Roman"/>
                <w:szCs w:val="21"/>
                <w:lang w:eastAsia="zh-CN"/>
              </w:rPr>
              <w:t>-</w:t>
            </w:r>
            <w:r>
              <w:rPr>
                <w:rFonts w:hint="default" w:ascii="Times New Roman" w:hAnsi="Times New Roman" w:cs="Times New Roman"/>
                <w:szCs w:val="21"/>
              </w:rPr>
              <w:t>2023 第二篇</w:t>
            </w:r>
          </w:p>
        </w:tc>
      </w:tr>
      <w:tr w14:paraId="4112CF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65" w:type="pct"/>
            <w:shd w:val="clear" w:color="auto" w:fill="auto"/>
            <w:vAlign w:val="center"/>
          </w:tcPr>
          <w:p w14:paraId="41E65D6C">
            <w:pPr>
              <w:snapToGrid w:val="0"/>
              <w:spacing w:line="440" w:lineRule="exact"/>
              <w:jc w:val="center"/>
              <w:rPr>
                <w:rFonts w:hint="default" w:ascii="Times New Roman" w:hAnsi="Times New Roman" w:eastAsia="宋体" w:cs="Times New Roman"/>
                <w:color w:val="000000"/>
                <w:kern w:val="2"/>
                <w:sz w:val="21"/>
                <w:szCs w:val="21"/>
                <w:lang w:val="en-US" w:eastAsia="zh-CN" w:bidi="ar-SA"/>
              </w:rPr>
            </w:pPr>
            <w:r>
              <w:rPr>
                <w:rFonts w:hint="default" w:ascii="Times New Roman" w:hAnsi="Times New Roman" w:cs="Times New Roman"/>
                <w:color w:val="000000"/>
                <w:szCs w:val="21"/>
              </w:rPr>
              <w:t>5</w:t>
            </w:r>
          </w:p>
        </w:tc>
        <w:tc>
          <w:tcPr>
            <w:tcW w:w="1037" w:type="pct"/>
            <w:shd w:val="clear" w:color="auto" w:fill="auto"/>
            <w:vAlign w:val="center"/>
          </w:tcPr>
          <w:p w14:paraId="2C194E57">
            <w:pPr>
              <w:adjustRightInd w:val="0"/>
              <w:snapToGrid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Cs w:val="21"/>
              </w:rPr>
              <w:t>铬</w:t>
            </w:r>
          </w:p>
        </w:tc>
        <w:tc>
          <w:tcPr>
            <w:tcW w:w="3496" w:type="pct"/>
            <w:shd w:val="clear" w:color="auto" w:fill="auto"/>
            <w:vAlign w:val="center"/>
          </w:tcPr>
          <w:p w14:paraId="3F3EC1EF">
            <w:pPr>
              <w:adjustRightInd w:val="0"/>
              <w:snapToGrid w:val="0"/>
              <w:jc w:val="center"/>
              <w:rPr>
                <w:rFonts w:hint="default" w:ascii="Times New Roman" w:hAnsi="Times New Roman" w:cs="Times New Roman"/>
                <w:szCs w:val="21"/>
              </w:rPr>
            </w:pPr>
            <w:r>
              <w:rPr>
                <w:rFonts w:hint="default" w:ascii="Times New Roman" w:hAnsi="Times New Roman" w:cs="Times New Roman"/>
                <w:szCs w:val="21"/>
              </w:rPr>
              <w:t>GB 31604.25</w:t>
            </w:r>
            <w:r>
              <w:rPr>
                <w:rFonts w:hint="default" w:ascii="Times New Roman" w:hAnsi="Times New Roman" w:cs="Times New Roman"/>
                <w:szCs w:val="21"/>
                <w:lang w:eastAsia="zh-CN"/>
              </w:rPr>
              <w:t>-</w:t>
            </w:r>
            <w:r>
              <w:rPr>
                <w:rFonts w:hint="default" w:ascii="Times New Roman" w:hAnsi="Times New Roman" w:cs="Times New Roman"/>
                <w:szCs w:val="21"/>
              </w:rPr>
              <w:t>2016 或</w:t>
            </w:r>
          </w:p>
          <w:p w14:paraId="7311EB48">
            <w:pPr>
              <w:adjustRightInd w:val="0"/>
              <w:snapToGrid w:val="0"/>
              <w:jc w:val="center"/>
              <w:rPr>
                <w:rFonts w:hint="default" w:ascii="Times New Roman" w:hAnsi="Times New Roman" w:cs="Times New Roman"/>
                <w:szCs w:val="21"/>
              </w:rPr>
            </w:pPr>
            <w:r>
              <w:rPr>
                <w:rFonts w:hint="default" w:ascii="Times New Roman" w:hAnsi="Times New Roman" w:cs="Times New Roman"/>
                <w:szCs w:val="21"/>
              </w:rPr>
              <w:t>GB 31604.49</w:t>
            </w:r>
            <w:r>
              <w:rPr>
                <w:rFonts w:hint="default" w:ascii="Times New Roman" w:hAnsi="Times New Roman" w:cs="Times New Roman"/>
                <w:szCs w:val="21"/>
                <w:lang w:eastAsia="zh-CN"/>
              </w:rPr>
              <w:t>-</w:t>
            </w:r>
            <w:r>
              <w:rPr>
                <w:rFonts w:hint="default" w:ascii="Times New Roman" w:hAnsi="Times New Roman" w:cs="Times New Roman"/>
                <w:szCs w:val="21"/>
              </w:rPr>
              <w:t>2016第二部分</w:t>
            </w:r>
          </w:p>
          <w:p w14:paraId="2024530A">
            <w:pPr>
              <w:adjustRightInd w:val="0"/>
              <w:snapToGrid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Cs w:val="21"/>
              </w:rPr>
              <w:t>GB 31604.49</w:t>
            </w:r>
            <w:r>
              <w:rPr>
                <w:rFonts w:hint="default" w:ascii="Times New Roman" w:hAnsi="Times New Roman" w:cs="Times New Roman"/>
                <w:szCs w:val="21"/>
                <w:lang w:eastAsia="zh-CN"/>
              </w:rPr>
              <w:t>-</w:t>
            </w:r>
            <w:r>
              <w:rPr>
                <w:rFonts w:hint="default" w:ascii="Times New Roman" w:hAnsi="Times New Roman" w:cs="Times New Roman"/>
                <w:szCs w:val="21"/>
              </w:rPr>
              <w:t>2023 第二篇</w:t>
            </w:r>
          </w:p>
        </w:tc>
      </w:tr>
      <w:tr w14:paraId="0696E1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65" w:type="pct"/>
            <w:shd w:val="clear" w:color="auto" w:fill="auto"/>
            <w:vAlign w:val="center"/>
          </w:tcPr>
          <w:p w14:paraId="66E797B5">
            <w:pPr>
              <w:snapToGrid w:val="0"/>
              <w:spacing w:line="440" w:lineRule="exact"/>
              <w:jc w:val="center"/>
              <w:rPr>
                <w:rFonts w:hint="default" w:ascii="Times New Roman" w:hAnsi="Times New Roman" w:eastAsia="宋体" w:cs="Times New Roman"/>
                <w:color w:val="000000"/>
                <w:kern w:val="2"/>
                <w:sz w:val="21"/>
                <w:szCs w:val="21"/>
                <w:lang w:val="en-US" w:eastAsia="zh-CN" w:bidi="ar-SA"/>
              </w:rPr>
            </w:pPr>
            <w:r>
              <w:rPr>
                <w:rFonts w:hint="default" w:ascii="Times New Roman" w:hAnsi="Times New Roman" w:cs="Times New Roman"/>
                <w:color w:val="000000"/>
                <w:kern w:val="2"/>
                <w:sz w:val="21"/>
                <w:szCs w:val="21"/>
                <w:lang w:val="en-US" w:eastAsia="zh-CN" w:bidi="ar-SA"/>
              </w:rPr>
              <w:t>6</w:t>
            </w:r>
          </w:p>
        </w:tc>
        <w:tc>
          <w:tcPr>
            <w:tcW w:w="1037" w:type="pct"/>
            <w:shd w:val="clear" w:color="auto" w:fill="auto"/>
            <w:vAlign w:val="center"/>
          </w:tcPr>
          <w:p w14:paraId="59F19B2A">
            <w:pPr>
              <w:adjustRightInd w:val="0"/>
              <w:snapToGrid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Cs w:val="21"/>
              </w:rPr>
              <w:t>铅</w:t>
            </w:r>
          </w:p>
        </w:tc>
        <w:tc>
          <w:tcPr>
            <w:tcW w:w="3496" w:type="pct"/>
            <w:shd w:val="clear" w:color="auto" w:fill="auto"/>
            <w:vAlign w:val="center"/>
          </w:tcPr>
          <w:p w14:paraId="74BD3F4F">
            <w:pPr>
              <w:adjustRightInd w:val="0"/>
              <w:snapToGrid w:val="0"/>
              <w:jc w:val="center"/>
              <w:rPr>
                <w:rFonts w:hint="default" w:ascii="Times New Roman" w:hAnsi="Times New Roman" w:cs="Times New Roman"/>
                <w:szCs w:val="21"/>
              </w:rPr>
            </w:pPr>
            <w:r>
              <w:rPr>
                <w:rFonts w:hint="default" w:ascii="Times New Roman" w:hAnsi="Times New Roman" w:cs="Times New Roman"/>
                <w:szCs w:val="21"/>
              </w:rPr>
              <w:t>GB 31604.34</w:t>
            </w:r>
            <w:r>
              <w:rPr>
                <w:rFonts w:hint="default" w:ascii="Times New Roman" w:hAnsi="Times New Roman" w:cs="Times New Roman"/>
                <w:szCs w:val="21"/>
                <w:lang w:eastAsia="zh-CN"/>
              </w:rPr>
              <w:t>-</w:t>
            </w:r>
            <w:r>
              <w:rPr>
                <w:rFonts w:hint="default" w:ascii="Times New Roman" w:hAnsi="Times New Roman" w:cs="Times New Roman"/>
                <w:szCs w:val="21"/>
              </w:rPr>
              <w:t>2016 第二部分或</w:t>
            </w:r>
          </w:p>
          <w:p w14:paraId="5323D17C">
            <w:pPr>
              <w:adjustRightInd w:val="0"/>
              <w:snapToGrid w:val="0"/>
              <w:jc w:val="center"/>
              <w:rPr>
                <w:rFonts w:hint="default" w:ascii="Times New Roman" w:hAnsi="Times New Roman" w:cs="Times New Roman"/>
                <w:szCs w:val="21"/>
              </w:rPr>
            </w:pPr>
            <w:r>
              <w:rPr>
                <w:rFonts w:hint="default" w:ascii="Times New Roman" w:hAnsi="Times New Roman" w:cs="Times New Roman"/>
                <w:szCs w:val="21"/>
              </w:rPr>
              <w:t>GB 31604.49</w:t>
            </w:r>
            <w:r>
              <w:rPr>
                <w:rFonts w:hint="default" w:ascii="Times New Roman" w:hAnsi="Times New Roman" w:cs="Times New Roman"/>
                <w:szCs w:val="21"/>
                <w:lang w:eastAsia="zh-CN"/>
              </w:rPr>
              <w:t>-</w:t>
            </w:r>
            <w:r>
              <w:rPr>
                <w:rFonts w:hint="default" w:ascii="Times New Roman" w:hAnsi="Times New Roman" w:cs="Times New Roman"/>
                <w:szCs w:val="21"/>
              </w:rPr>
              <w:t>2016第二部分</w:t>
            </w:r>
          </w:p>
          <w:p w14:paraId="209476A2">
            <w:pPr>
              <w:adjustRightInd w:val="0"/>
              <w:snapToGrid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Cs w:val="21"/>
              </w:rPr>
              <w:t>GB 31604.49</w:t>
            </w:r>
            <w:r>
              <w:rPr>
                <w:rFonts w:hint="default" w:ascii="Times New Roman" w:hAnsi="Times New Roman" w:cs="Times New Roman"/>
                <w:szCs w:val="21"/>
                <w:lang w:eastAsia="zh-CN"/>
              </w:rPr>
              <w:t>-</w:t>
            </w:r>
            <w:r>
              <w:rPr>
                <w:rFonts w:hint="default" w:ascii="Times New Roman" w:hAnsi="Times New Roman" w:cs="Times New Roman"/>
                <w:szCs w:val="21"/>
              </w:rPr>
              <w:t>2023 第二篇</w:t>
            </w:r>
          </w:p>
        </w:tc>
      </w:tr>
      <w:tr w14:paraId="2E3E70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65" w:type="pct"/>
            <w:vAlign w:val="center"/>
          </w:tcPr>
          <w:p w14:paraId="619364ED">
            <w:pPr>
              <w:snapToGrid w:val="0"/>
              <w:spacing w:line="440" w:lineRule="exact"/>
              <w:jc w:val="center"/>
              <w:rPr>
                <w:rFonts w:hint="default" w:ascii="Times New Roman" w:hAnsi="Times New Roman" w:eastAsia="宋体" w:cs="Times New Roman"/>
                <w:color w:val="000000"/>
                <w:szCs w:val="21"/>
                <w:lang w:val="en-US" w:eastAsia="zh-CN"/>
              </w:rPr>
            </w:pPr>
            <w:bookmarkStart w:id="0" w:name="_Hlk40347690"/>
            <w:r>
              <w:rPr>
                <w:rFonts w:hint="default" w:ascii="Times New Roman" w:hAnsi="Times New Roman" w:cs="Times New Roman"/>
                <w:color w:val="000000"/>
                <w:szCs w:val="21"/>
                <w:lang w:val="en-US" w:eastAsia="zh-CN"/>
              </w:rPr>
              <w:t>7</w:t>
            </w:r>
          </w:p>
        </w:tc>
        <w:tc>
          <w:tcPr>
            <w:tcW w:w="1037" w:type="pct"/>
            <w:shd w:val="clear" w:color="auto" w:fill="auto"/>
            <w:vAlign w:val="center"/>
          </w:tcPr>
          <w:p w14:paraId="623C28AA">
            <w:pPr>
              <w:adjustRightInd w:val="0"/>
              <w:snapToGrid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Cs w:val="21"/>
              </w:rPr>
              <w:t>锑</w:t>
            </w:r>
          </w:p>
        </w:tc>
        <w:tc>
          <w:tcPr>
            <w:tcW w:w="3496" w:type="pct"/>
            <w:shd w:val="clear" w:color="auto" w:fill="auto"/>
            <w:vAlign w:val="center"/>
          </w:tcPr>
          <w:p w14:paraId="75E38C92">
            <w:pPr>
              <w:adjustRightInd w:val="0"/>
              <w:snapToGrid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Cs w:val="21"/>
              </w:rPr>
              <w:t>GB 31604.49</w:t>
            </w:r>
            <w:r>
              <w:rPr>
                <w:rFonts w:hint="default" w:ascii="Times New Roman" w:hAnsi="Times New Roman" w:cs="Times New Roman"/>
                <w:szCs w:val="21"/>
                <w:lang w:eastAsia="zh-CN"/>
              </w:rPr>
              <w:t>-</w:t>
            </w:r>
            <w:r>
              <w:rPr>
                <w:rFonts w:hint="default" w:ascii="Times New Roman" w:hAnsi="Times New Roman" w:cs="Times New Roman"/>
                <w:szCs w:val="21"/>
              </w:rPr>
              <w:t>2023 第二篇</w:t>
            </w:r>
          </w:p>
        </w:tc>
      </w:tr>
      <w:tr w14:paraId="1E308C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65" w:type="pct"/>
            <w:vAlign w:val="center"/>
          </w:tcPr>
          <w:p w14:paraId="63C1C830">
            <w:pPr>
              <w:snapToGrid w:val="0"/>
              <w:spacing w:line="440" w:lineRule="exact"/>
              <w:jc w:val="center"/>
              <w:rPr>
                <w:rFonts w:hint="default" w:ascii="Times New Roman" w:hAnsi="Times New Roman" w:eastAsia="宋体" w:cs="Times New Roman"/>
                <w:color w:val="000000"/>
                <w:szCs w:val="21"/>
                <w:lang w:val="en-US" w:eastAsia="zh-CN"/>
              </w:rPr>
            </w:pPr>
            <w:r>
              <w:rPr>
                <w:rFonts w:hint="default" w:ascii="Times New Roman" w:hAnsi="Times New Roman" w:cs="Times New Roman"/>
                <w:color w:val="000000"/>
                <w:szCs w:val="21"/>
                <w:lang w:val="en-US" w:eastAsia="zh-CN"/>
              </w:rPr>
              <w:t>8</w:t>
            </w:r>
          </w:p>
        </w:tc>
        <w:tc>
          <w:tcPr>
            <w:tcW w:w="1037" w:type="pct"/>
            <w:shd w:val="clear" w:color="auto" w:fill="auto"/>
            <w:vAlign w:val="center"/>
          </w:tcPr>
          <w:p w14:paraId="68E869C9">
            <w:pPr>
              <w:adjustRightInd w:val="0"/>
              <w:snapToGrid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Cs w:val="21"/>
              </w:rPr>
              <w:t>铝</w:t>
            </w:r>
          </w:p>
        </w:tc>
        <w:tc>
          <w:tcPr>
            <w:tcW w:w="3496" w:type="pct"/>
            <w:shd w:val="clear" w:color="auto" w:fill="auto"/>
            <w:vAlign w:val="center"/>
          </w:tcPr>
          <w:p w14:paraId="44AC233D">
            <w:pPr>
              <w:adjustRightInd w:val="0"/>
              <w:snapToGrid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Cs w:val="21"/>
              </w:rPr>
              <w:t>GB 31604.49</w:t>
            </w:r>
            <w:r>
              <w:rPr>
                <w:rFonts w:hint="default" w:ascii="Times New Roman" w:hAnsi="Times New Roman" w:cs="Times New Roman"/>
                <w:szCs w:val="21"/>
                <w:lang w:eastAsia="zh-CN"/>
              </w:rPr>
              <w:t>-</w:t>
            </w:r>
            <w:r>
              <w:rPr>
                <w:rFonts w:hint="default" w:ascii="Times New Roman" w:hAnsi="Times New Roman" w:cs="Times New Roman"/>
                <w:szCs w:val="21"/>
              </w:rPr>
              <w:t>2023 第二篇</w:t>
            </w:r>
          </w:p>
        </w:tc>
      </w:tr>
      <w:tr w14:paraId="0A4A19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65" w:type="pct"/>
            <w:vAlign w:val="center"/>
          </w:tcPr>
          <w:p w14:paraId="01471358">
            <w:pPr>
              <w:snapToGrid w:val="0"/>
              <w:spacing w:line="440" w:lineRule="exact"/>
              <w:jc w:val="center"/>
              <w:rPr>
                <w:rFonts w:hint="default" w:ascii="Times New Roman" w:hAnsi="Times New Roman" w:eastAsia="宋体" w:cs="Times New Roman"/>
                <w:color w:val="000000"/>
                <w:szCs w:val="21"/>
                <w:lang w:val="en-US" w:eastAsia="zh-CN"/>
              </w:rPr>
            </w:pPr>
            <w:r>
              <w:rPr>
                <w:rFonts w:hint="default" w:ascii="Times New Roman" w:hAnsi="Times New Roman" w:cs="Times New Roman"/>
                <w:color w:val="000000"/>
                <w:szCs w:val="21"/>
                <w:lang w:val="en-US" w:eastAsia="zh-CN"/>
              </w:rPr>
              <w:t>9</w:t>
            </w:r>
          </w:p>
        </w:tc>
        <w:tc>
          <w:tcPr>
            <w:tcW w:w="1037" w:type="pct"/>
            <w:shd w:val="clear" w:color="auto" w:fill="auto"/>
            <w:vAlign w:val="center"/>
          </w:tcPr>
          <w:p w14:paraId="29B51521">
            <w:pPr>
              <w:adjustRightInd w:val="0"/>
              <w:snapToGrid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Cs w:val="21"/>
              </w:rPr>
              <w:t>钴</w:t>
            </w:r>
          </w:p>
        </w:tc>
        <w:tc>
          <w:tcPr>
            <w:tcW w:w="3496" w:type="pct"/>
            <w:shd w:val="clear" w:color="auto" w:fill="auto"/>
            <w:vAlign w:val="center"/>
          </w:tcPr>
          <w:p w14:paraId="19D4CD74">
            <w:pPr>
              <w:adjustRightInd w:val="0"/>
              <w:snapToGrid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Cs w:val="21"/>
              </w:rPr>
              <w:t>GB 31604.49</w:t>
            </w:r>
            <w:r>
              <w:rPr>
                <w:rFonts w:hint="default" w:ascii="Times New Roman" w:hAnsi="Times New Roman" w:cs="Times New Roman"/>
                <w:szCs w:val="21"/>
                <w:lang w:eastAsia="zh-CN"/>
              </w:rPr>
              <w:t>-</w:t>
            </w:r>
            <w:r>
              <w:rPr>
                <w:rFonts w:hint="default" w:ascii="Times New Roman" w:hAnsi="Times New Roman" w:cs="Times New Roman"/>
                <w:szCs w:val="21"/>
              </w:rPr>
              <w:t>2023 第二篇</w:t>
            </w:r>
          </w:p>
        </w:tc>
      </w:tr>
      <w:tr w14:paraId="7FC910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65" w:type="pct"/>
            <w:vAlign w:val="center"/>
          </w:tcPr>
          <w:p w14:paraId="5622B097">
            <w:pPr>
              <w:snapToGrid w:val="0"/>
              <w:spacing w:line="440" w:lineRule="exact"/>
              <w:jc w:val="center"/>
              <w:rPr>
                <w:rFonts w:hint="default" w:ascii="Times New Roman" w:hAnsi="Times New Roman" w:eastAsia="宋体" w:cs="Times New Roman"/>
                <w:color w:val="000000"/>
                <w:szCs w:val="21"/>
                <w:lang w:val="en-US" w:eastAsia="zh-CN"/>
              </w:rPr>
            </w:pPr>
            <w:r>
              <w:rPr>
                <w:rFonts w:hint="default" w:ascii="Times New Roman" w:hAnsi="Times New Roman" w:cs="Times New Roman"/>
                <w:color w:val="000000"/>
                <w:szCs w:val="21"/>
                <w:lang w:val="en-US" w:eastAsia="zh-CN"/>
              </w:rPr>
              <w:t>10</w:t>
            </w:r>
          </w:p>
        </w:tc>
        <w:tc>
          <w:tcPr>
            <w:tcW w:w="1037" w:type="pct"/>
            <w:shd w:val="clear" w:color="auto" w:fill="auto"/>
            <w:vAlign w:val="center"/>
          </w:tcPr>
          <w:p w14:paraId="581420C1">
            <w:pPr>
              <w:adjustRightInd w:val="0"/>
              <w:snapToGrid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Cs w:val="21"/>
              </w:rPr>
              <w:t>铜</w:t>
            </w:r>
          </w:p>
        </w:tc>
        <w:tc>
          <w:tcPr>
            <w:tcW w:w="3496" w:type="pct"/>
            <w:shd w:val="clear" w:color="auto" w:fill="auto"/>
            <w:vAlign w:val="center"/>
          </w:tcPr>
          <w:p w14:paraId="0F54A804">
            <w:pPr>
              <w:adjustRightInd w:val="0"/>
              <w:snapToGrid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Cs w:val="21"/>
              </w:rPr>
              <w:t>GB 31604.49</w:t>
            </w:r>
            <w:r>
              <w:rPr>
                <w:rFonts w:hint="default" w:ascii="Times New Roman" w:hAnsi="Times New Roman" w:cs="Times New Roman"/>
                <w:szCs w:val="21"/>
                <w:lang w:eastAsia="zh-CN"/>
              </w:rPr>
              <w:t>-</w:t>
            </w:r>
            <w:r>
              <w:rPr>
                <w:rFonts w:hint="default" w:ascii="Times New Roman" w:hAnsi="Times New Roman" w:cs="Times New Roman"/>
                <w:szCs w:val="21"/>
              </w:rPr>
              <w:t>2023 第二篇</w:t>
            </w:r>
          </w:p>
        </w:tc>
      </w:tr>
      <w:tr w14:paraId="1F6771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65" w:type="pct"/>
            <w:vAlign w:val="center"/>
          </w:tcPr>
          <w:p w14:paraId="7BFAF78B">
            <w:pPr>
              <w:snapToGrid w:val="0"/>
              <w:spacing w:line="440" w:lineRule="exact"/>
              <w:jc w:val="center"/>
              <w:rPr>
                <w:rFonts w:hint="default" w:ascii="Times New Roman" w:hAnsi="Times New Roman" w:eastAsia="宋体" w:cs="Times New Roman"/>
                <w:color w:val="000000"/>
                <w:szCs w:val="21"/>
                <w:lang w:val="en-US" w:eastAsia="zh-CN"/>
              </w:rPr>
            </w:pPr>
            <w:r>
              <w:rPr>
                <w:rFonts w:hint="default" w:ascii="Times New Roman" w:hAnsi="Times New Roman" w:cs="Times New Roman"/>
                <w:color w:val="000000"/>
                <w:szCs w:val="21"/>
                <w:lang w:val="en-US" w:eastAsia="zh-CN"/>
              </w:rPr>
              <w:t>11</w:t>
            </w:r>
          </w:p>
        </w:tc>
        <w:tc>
          <w:tcPr>
            <w:tcW w:w="1037" w:type="pct"/>
            <w:shd w:val="clear" w:color="auto" w:fill="auto"/>
            <w:vAlign w:val="center"/>
          </w:tcPr>
          <w:p w14:paraId="7EB88345">
            <w:pPr>
              <w:adjustRightInd w:val="0"/>
              <w:snapToGrid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Cs w:val="21"/>
              </w:rPr>
              <w:t>锰</w:t>
            </w:r>
          </w:p>
        </w:tc>
        <w:tc>
          <w:tcPr>
            <w:tcW w:w="3496" w:type="pct"/>
            <w:shd w:val="clear" w:color="auto" w:fill="auto"/>
            <w:vAlign w:val="center"/>
          </w:tcPr>
          <w:p w14:paraId="22DD5121">
            <w:pPr>
              <w:adjustRightInd w:val="0"/>
              <w:snapToGrid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Cs w:val="21"/>
              </w:rPr>
              <w:t>GB 31604.49</w:t>
            </w:r>
            <w:r>
              <w:rPr>
                <w:rFonts w:hint="default" w:ascii="Times New Roman" w:hAnsi="Times New Roman" w:cs="Times New Roman"/>
                <w:szCs w:val="21"/>
                <w:lang w:eastAsia="zh-CN"/>
              </w:rPr>
              <w:t>-</w:t>
            </w:r>
            <w:r>
              <w:rPr>
                <w:rFonts w:hint="default" w:ascii="Times New Roman" w:hAnsi="Times New Roman" w:cs="Times New Roman"/>
                <w:szCs w:val="21"/>
              </w:rPr>
              <w:t>2023 第二篇</w:t>
            </w:r>
          </w:p>
        </w:tc>
      </w:tr>
      <w:tr w14:paraId="3D9304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65" w:type="pct"/>
            <w:vAlign w:val="center"/>
          </w:tcPr>
          <w:p w14:paraId="3D300317">
            <w:pPr>
              <w:snapToGrid w:val="0"/>
              <w:spacing w:line="440" w:lineRule="exact"/>
              <w:jc w:val="center"/>
              <w:rPr>
                <w:rFonts w:hint="default" w:ascii="Times New Roman" w:hAnsi="Times New Roman" w:eastAsia="宋体" w:cs="Times New Roman"/>
                <w:color w:val="000000"/>
                <w:szCs w:val="21"/>
                <w:lang w:val="en-US" w:eastAsia="zh-CN"/>
              </w:rPr>
            </w:pPr>
            <w:r>
              <w:rPr>
                <w:rFonts w:hint="default" w:ascii="Times New Roman" w:hAnsi="Times New Roman" w:cs="Times New Roman"/>
                <w:color w:val="000000"/>
                <w:szCs w:val="21"/>
                <w:lang w:val="en-US" w:eastAsia="zh-CN"/>
              </w:rPr>
              <w:t>12</w:t>
            </w:r>
          </w:p>
        </w:tc>
        <w:tc>
          <w:tcPr>
            <w:tcW w:w="1037" w:type="pct"/>
            <w:shd w:val="clear" w:color="auto" w:fill="auto"/>
            <w:vAlign w:val="center"/>
          </w:tcPr>
          <w:p w14:paraId="28FE4285">
            <w:pPr>
              <w:adjustRightInd w:val="0"/>
              <w:snapToGrid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Cs w:val="21"/>
              </w:rPr>
              <w:t>钼</w:t>
            </w:r>
          </w:p>
        </w:tc>
        <w:tc>
          <w:tcPr>
            <w:tcW w:w="3496" w:type="pct"/>
            <w:shd w:val="clear" w:color="auto" w:fill="auto"/>
            <w:vAlign w:val="center"/>
          </w:tcPr>
          <w:p w14:paraId="47F846AF">
            <w:pPr>
              <w:adjustRightInd w:val="0"/>
              <w:snapToGrid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Cs w:val="21"/>
              </w:rPr>
              <w:t>GB 31604.49</w:t>
            </w:r>
            <w:r>
              <w:rPr>
                <w:rFonts w:hint="default" w:ascii="Times New Roman" w:hAnsi="Times New Roman" w:cs="Times New Roman"/>
                <w:szCs w:val="21"/>
                <w:lang w:eastAsia="zh-CN"/>
              </w:rPr>
              <w:t>-</w:t>
            </w:r>
            <w:r>
              <w:rPr>
                <w:rFonts w:hint="default" w:ascii="Times New Roman" w:hAnsi="Times New Roman" w:cs="Times New Roman"/>
                <w:szCs w:val="21"/>
              </w:rPr>
              <w:t>2023 第二篇</w:t>
            </w:r>
          </w:p>
        </w:tc>
      </w:tr>
      <w:tr w14:paraId="0C03FB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65" w:type="pct"/>
            <w:vAlign w:val="center"/>
          </w:tcPr>
          <w:p w14:paraId="506C9FB0">
            <w:pPr>
              <w:snapToGrid w:val="0"/>
              <w:spacing w:line="440" w:lineRule="exact"/>
              <w:jc w:val="center"/>
              <w:rPr>
                <w:rFonts w:hint="default" w:ascii="Times New Roman" w:hAnsi="Times New Roman" w:eastAsia="宋体" w:cs="Times New Roman"/>
                <w:color w:val="000000"/>
                <w:szCs w:val="21"/>
                <w:lang w:val="en-US" w:eastAsia="zh-CN"/>
              </w:rPr>
            </w:pPr>
            <w:r>
              <w:rPr>
                <w:rFonts w:hint="default" w:ascii="Times New Roman" w:hAnsi="Times New Roman" w:cs="Times New Roman"/>
                <w:color w:val="000000"/>
                <w:szCs w:val="21"/>
                <w:lang w:val="en-US" w:eastAsia="zh-CN"/>
              </w:rPr>
              <w:t>13</w:t>
            </w:r>
          </w:p>
        </w:tc>
        <w:tc>
          <w:tcPr>
            <w:tcW w:w="1037" w:type="pct"/>
            <w:shd w:val="clear" w:color="auto" w:fill="auto"/>
            <w:vAlign w:val="center"/>
          </w:tcPr>
          <w:p w14:paraId="6D64BF79">
            <w:pPr>
              <w:adjustRightInd w:val="0"/>
              <w:snapToGrid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Cs w:val="21"/>
              </w:rPr>
              <w:t>锡</w:t>
            </w:r>
          </w:p>
        </w:tc>
        <w:tc>
          <w:tcPr>
            <w:tcW w:w="3496" w:type="pct"/>
            <w:shd w:val="clear" w:color="auto" w:fill="auto"/>
            <w:vAlign w:val="center"/>
          </w:tcPr>
          <w:p w14:paraId="53C00D93">
            <w:pPr>
              <w:adjustRightInd w:val="0"/>
              <w:snapToGrid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Cs w:val="21"/>
              </w:rPr>
              <w:t>GB 31604.49</w:t>
            </w:r>
            <w:r>
              <w:rPr>
                <w:rFonts w:hint="default" w:ascii="Times New Roman" w:hAnsi="Times New Roman" w:cs="Times New Roman"/>
                <w:szCs w:val="21"/>
                <w:lang w:eastAsia="zh-CN"/>
              </w:rPr>
              <w:t>-</w:t>
            </w:r>
            <w:r>
              <w:rPr>
                <w:rFonts w:hint="default" w:ascii="Times New Roman" w:hAnsi="Times New Roman" w:cs="Times New Roman"/>
                <w:szCs w:val="21"/>
              </w:rPr>
              <w:t>2023 第二篇</w:t>
            </w:r>
          </w:p>
        </w:tc>
      </w:tr>
      <w:tr w14:paraId="50B167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tcPr>
          <w:p w14:paraId="23185600">
            <w:pPr>
              <w:snapToGrid w:val="0"/>
              <w:spacing w:line="440" w:lineRule="exact"/>
              <w:jc w:val="center"/>
              <w:rPr>
                <w:rFonts w:hint="default" w:ascii="Times New Roman" w:hAnsi="Times New Roman" w:eastAsia="宋体" w:cs="Times New Roman"/>
                <w:color w:val="000000"/>
                <w:szCs w:val="21"/>
                <w:lang w:val="en-US" w:eastAsia="zh-CN"/>
              </w:rPr>
            </w:pPr>
            <w:r>
              <w:rPr>
                <w:rFonts w:hint="default" w:ascii="Times New Roman" w:hAnsi="Times New Roman" w:cs="Times New Roman"/>
                <w:color w:val="000000"/>
                <w:szCs w:val="21"/>
                <w:lang w:val="en-US" w:eastAsia="zh-CN"/>
              </w:rPr>
              <w:t>14</w:t>
            </w:r>
          </w:p>
        </w:tc>
        <w:tc>
          <w:tcPr>
            <w:tcW w:w="0" w:type="auto"/>
            <w:shd w:val="clear" w:color="auto" w:fill="auto"/>
            <w:vAlign w:val="center"/>
          </w:tcPr>
          <w:p w14:paraId="714B6D7D">
            <w:pPr>
              <w:adjustRightInd w:val="0"/>
              <w:snapToGrid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Cs w:val="21"/>
              </w:rPr>
              <w:t>锌</w:t>
            </w:r>
          </w:p>
        </w:tc>
        <w:tc>
          <w:tcPr>
            <w:tcW w:w="0" w:type="auto"/>
            <w:shd w:val="clear" w:color="auto" w:fill="auto"/>
            <w:vAlign w:val="center"/>
          </w:tcPr>
          <w:p w14:paraId="299B36B4">
            <w:pPr>
              <w:adjustRightInd w:val="0"/>
              <w:snapToGrid w:val="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Cs w:val="21"/>
              </w:rPr>
              <w:t>GB 31604.49</w:t>
            </w:r>
            <w:r>
              <w:rPr>
                <w:rFonts w:hint="default" w:ascii="Times New Roman" w:hAnsi="Times New Roman" w:cs="Times New Roman"/>
                <w:szCs w:val="21"/>
                <w:lang w:eastAsia="zh-CN"/>
              </w:rPr>
              <w:t>-</w:t>
            </w:r>
            <w:r>
              <w:rPr>
                <w:rFonts w:hint="default" w:ascii="Times New Roman" w:hAnsi="Times New Roman" w:cs="Times New Roman"/>
                <w:szCs w:val="21"/>
              </w:rPr>
              <w:t>2023 第二篇</w:t>
            </w:r>
          </w:p>
        </w:tc>
      </w:tr>
    </w:tbl>
    <w:p w14:paraId="70036655">
      <w:pPr>
        <w:snapToGrid w:val="0"/>
        <w:spacing w:line="440" w:lineRule="exact"/>
        <w:ind w:firstLine="420" w:firstLineChars="200"/>
        <w:rPr>
          <w:rFonts w:hint="default" w:ascii="Times New Roman" w:hAnsi="Times New Roman" w:cs="Times New Roman"/>
          <w:color w:val="000000"/>
          <w:szCs w:val="21"/>
        </w:rPr>
      </w:pPr>
      <w:r>
        <w:rPr>
          <w:rFonts w:hint="default" w:ascii="Times New Roman" w:hAnsi="Times New Roman" w:cs="Times New Roman"/>
          <w:color w:val="000000"/>
          <w:szCs w:val="21"/>
        </w:rPr>
        <w:t>执行企业标准、团体标准、地方标准的产品，检验项目参照上述内容执行。</w:t>
      </w:r>
      <w:bookmarkEnd w:id="0"/>
    </w:p>
    <w:p w14:paraId="3C2D681E">
      <w:pPr>
        <w:snapToGrid w:val="0"/>
        <w:spacing w:line="440" w:lineRule="exact"/>
        <w:ind w:firstLine="359" w:firstLineChars="171"/>
        <w:rPr>
          <w:rFonts w:hint="default" w:ascii="Times New Roman" w:hAnsi="Times New Roman" w:cs="Times New Roman"/>
          <w:color w:val="000000"/>
          <w:szCs w:val="21"/>
        </w:rPr>
      </w:pPr>
      <w:r>
        <w:rPr>
          <w:rFonts w:hint="default" w:ascii="Times New Roman" w:hAnsi="Times New Roman" w:cs="Times New Roman"/>
          <w:color w:val="000000"/>
          <w:szCs w:val="21"/>
        </w:rPr>
        <w:t>凡是注日期的文件，其随后所有的修改单（不包括勘误的内容）或修订版不适用于本细则。凡是不注日期的文件，其最新版本适用于本细则。</w:t>
      </w:r>
    </w:p>
    <w:p w14:paraId="543FC4FB">
      <w:pPr>
        <w:spacing w:before="156" w:beforeLines="50" w:line="440" w:lineRule="exact"/>
        <w:ind w:left="420" w:hanging="420" w:hangingChars="200"/>
        <w:outlineLvl w:val="0"/>
        <w:rPr>
          <w:rFonts w:hint="default" w:ascii="Times New Roman" w:hAnsi="Times New Roman" w:eastAsia="黑体" w:cs="Times New Roman"/>
          <w:color w:val="000000"/>
          <w:szCs w:val="21"/>
        </w:rPr>
      </w:pPr>
      <w:r>
        <w:rPr>
          <w:rFonts w:hint="default" w:ascii="Times New Roman" w:hAnsi="Times New Roman" w:eastAsia="黑体" w:cs="Times New Roman"/>
          <w:color w:val="000000"/>
          <w:szCs w:val="21"/>
        </w:rPr>
        <w:t>3 判定规则</w:t>
      </w:r>
    </w:p>
    <w:p w14:paraId="45AD782E">
      <w:pPr>
        <w:snapToGrid w:val="0"/>
        <w:spacing w:line="440" w:lineRule="exact"/>
        <w:rPr>
          <w:rFonts w:hint="default" w:ascii="Times New Roman" w:hAnsi="Times New Roman" w:cs="Times New Roman"/>
          <w:color w:val="000000"/>
          <w:szCs w:val="21"/>
        </w:rPr>
      </w:pPr>
      <w:r>
        <w:rPr>
          <w:rFonts w:hint="default" w:ascii="Times New Roman" w:hAnsi="Times New Roman" w:cs="Times New Roman"/>
          <w:color w:val="000000"/>
          <w:szCs w:val="21"/>
        </w:rPr>
        <w:t>3.1 依据标准</w:t>
      </w:r>
    </w:p>
    <w:p w14:paraId="5BE0107A">
      <w:pPr>
        <w:snapToGrid w:val="0"/>
        <w:spacing w:line="440" w:lineRule="exact"/>
        <w:ind w:firstLine="420" w:firstLineChars="200"/>
        <w:rPr>
          <w:rFonts w:hint="default" w:ascii="Times New Roman" w:hAnsi="Times New Roman" w:cs="Times New Roman"/>
          <w:color w:val="000000" w:themeColor="text1"/>
        </w:rPr>
      </w:pPr>
      <w:r>
        <w:rPr>
          <w:rFonts w:hint="default" w:ascii="Times New Roman" w:hAnsi="Times New Roman" w:cs="Times New Roman"/>
          <w:color w:val="000000" w:themeColor="text1"/>
        </w:rPr>
        <w:t>GB 4806.</w:t>
      </w:r>
      <w:r>
        <w:rPr>
          <w:rFonts w:hint="default" w:ascii="Times New Roman" w:hAnsi="Times New Roman" w:cs="Times New Roman"/>
          <w:color w:val="000000" w:themeColor="text1"/>
          <w:szCs w:val="21"/>
        </w:rPr>
        <w:t>7</w:t>
      </w:r>
      <w:r>
        <w:rPr>
          <w:rFonts w:hint="default" w:ascii="Times New Roman" w:hAnsi="Times New Roman" w:cs="Times New Roman"/>
          <w:color w:val="000000" w:themeColor="text1"/>
          <w:szCs w:val="21"/>
          <w:lang w:eastAsia="zh-CN"/>
        </w:rPr>
        <w:t>-</w:t>
      </w:r>
      <w:r>
        <w:rPr>
          <w:rFonts w:hint="default" w:ascii="Times New Roman" w:hAnsi="Times New Roman" w:cs="Times New Roman"/>
          <w:color w:val="000000" w:themeColor="text1"/>
          <w:szCs w:val="21"/>
        </w:rPr>
        <w:t>2023</w:t>
      </w:r>
      <w:r>
        <w:rPr>
          <w:rFonts w:hint="default" w:ascii="Times New Roman" w:hAnsi="Times New Roman" w:cs="Times New Roman"/>
          <w:color w:val="000000" w:themeColor="text1"/>
        </w:rPr>
        <w:t>食品安全国家标准 食品接触用</w:t>
      </w:r>
      <w:r>
        <w:rPr>
          <w:rFonts w:hint="default" w:ascii="Times New Roman" w:hAnsi="Times New Roman" w:cs="Times New Roman"/>
          <w:color w:val="000000" w:themeColor="text1"/>
          <w:szCs w:val="21"/>
        </w:rPr>
        <w:t>塑料</w:t>
      </w:r>
      <w:r>
        <w:rPr>
          <w:rFonts w:hint="default" w:ascii="Times New Roman" w:hAnsi="Times New Roman" w:cs="Times New Roman"/>
          <w:color w:val="000000" w:themeColor="text1"/>
        </w:rPr>
        <w:t>材料及制品</w:t>
      </w:r>
    </w:p>
    <w:p w14:paraId="6AE61CFB">
      <w:pPr>
        <w:snapToGrid w:val="0"/>
        <w:spacing w:line="440" w:lineRule="exact"/>
        <w:ind w:firstLine="420" w:firstLineChars="200"/>
        <w:rPr>
          <w:rFonts w:hint="default" w:ascii="Times New Roman" w:hAnsi="Times New Roman" w:cs="Times New Roman"/>
          <w:color w:val="000000" w:themeColor="text1"/>
          <w:szCs w:val="21"/>
        </w:rPr>
      </w:pPr>
      <w:r>
        <w:rPr>
          <w:rFonts w:hint="default" w:ascii="Times New Roman" w:hAnsi="Times New Roman" w:cs="Times New Roman"/>
          <w:color w:val="000000" w:themeColor="text1"/>
          <w:szCs w:val="21"/>
        </w:rPr>
        <w:t>GB 4806.9</w:t>
      </w:r>
      <w:r>
        <w:rPr>
          <w:rFonts w:hint="default" w:ascii="Times New Roman" w:hAnsi="Times New Roman" w:cs="Times New Roman"/>
          <w:color w:val="000000" w:themeColor="text1"/>
          <w:szCs w:val="21"/>
          <w:lang w:eastAsia="zh-CN"/>
        </w:rPr>
        <w:t>-</w:t>
      </w:r>
      <w:r>
        <w:rPr>
          <w:rFonts w:hint="default" w:ascii="Times New Roman" w:hAnsi="Times New Roman" w:cs="Times New Roman"/>
          <w:color w:val="000000" w:themeColor="text1"/>
          <w:szCs w:val="21"/>
        </w:rPr>
        <w:t xml:space="preserve">2023 食品安全国家标准 食品接触用金属材料及制品 </w:t>
      </w:r>
    </w:p>
    <w:p w14:paraId="7E0877C5">
      <w:pPr>
        <w:snapToGrid w:val="0"/>
        <w:spacing w:line="440" w:lineRule="exact"/>
        <w:ind w:firstLine="420" w:firstLineChars="200"/>
        <w:rPr>
          <w:rFonts w:hint="default" w:ascii="Times New Roman" w:hAnsi="Times New Roman" w:cs="Times New Roman"/>
          <w:color w:val="000000"/>
          <w:szCs w:val="21"/>
        </w:rPr>
      </w:pPr>
      <w:r>
        <w:rPr>
          <w:rFonts w:hint="default" w:ascii="Times New Roman" w:hAnsi="Times New Roman" w:cs="Times New Roman"/>
          <w:color w:val="000000"/>
          <w:szCs w:val="21"/>
        </w:rPr>
        <w:t>现行有效的企业标准、团体标准、地方标准及产品明示质量要求</w:t>
      </w:r>
    </w:p>
    <w:p w14:paraId="24CC5B9C">
      <w:pPr>
        <w:snapToGrid w:val="0"/>
        <w:spacing w:line="440" w:lineRule="exact"/>
        <w:outlineLvl w:val="0"/>
        <w:rPr>
          <w:rFonts w:hint="default" w:ascii="Times New Roman" w:hAnsi="Times New Roman" w:cs="Times New Roman"/>
          <w:color w:val="000000"/>
          <w:szCs w:val="21"/>
        </w:rPr>
      </w:pPr>
      <w:r>
        <w:rPr>
          <w:rFonts w:hint="default" w:ascii="Times New Roman" w:hAnsi="Times New Roman" w:cs="Times New Roman"/>
          <w:color w:val="000000"/>
          <w:szCs w:val="21"/>
        </w:rPr>
        <w:t>3.2判定原则</w:t>
      </w:r>
    </w:p>
    <w:p w14:paraId="28401462">
      <w:pPr>
        <w:snapToGrid w:val="0"/>
        <w:spacing w:line="440" w:lineRule="exact"/>
        <w:ind w:firstLine="420" w:firstLineChars="200"/>
        <w:rPr>
          <w:rFonts w:hint="default" w:ascii="Times New Roman" w:hAnsi="Times New Roman" w:cs="Times New Roman"/>
          <w:color w:val="000000"/>
          <w:szCs w:val="21"/>
        </w:rPr>
      </w:pPr>
      <w:r>
        <w:rPr>
          <w:rFonts w:hint="default" w:ascii="Times New Roman" w:hAnsi="Times New Roman" w:cs="Times New Roman"/>
          <w:color w:val="000000"/>
          <w:szCs w:val="21"/>
        </w:rPr>
        <w:t>经检验，检验项目全部合格，判定为被抽查产品所检项目未发现不合格；检验项目中任一项或一项以上不合格，判定为被抽查产品不合格。</w:t>
      </w:r>
    </w:p>
    <w:p w14:paraId="1F695834">
      <w:pPr>
        <w:snapToGrid w:val="0"/>
        <w:spacing w:line="440" w:lineRule="exact"/>
        <w:ind w:firstLine="420" w:firstLineChars="200"/>
        <w:rPr>
          <w:rFonts w:hint="default" w:ascii="Times New Roman" w:hAnsi="Times New Roman" w:cs="Times New Roman"/>
        </w:rPr>
      </w:pPr>
      <w:r>
        <w:rPr>
          <w:rFonts w:hint="default" w:ascii="Times New Roman" w:hAnsi="Times New Roman" w:cs="Times New Roman"/>
        </w:rPr>
        <w:t>若被检产品明示的质量要求高于本细则中检验项目依据的标准要求时，应按被检产品明示的质量要求判定。</w:t>
      </w:r>
    </w:p>
    <w:p w14:paraId="38D2FF83">
      <w:pPr>
        <w:snapToGrid w:val="0"/>
        <w:spacing w:line="440" w:lineRule="exact"/>
        <w:ind w:firstLine="420" w:firstLineChars="200"/>
        <w:rPr>
          <w:rFonts w:hint="default" w:ascii="Times New Roman" w:hAnsi="Times New Roman" w:cs="Times New Roman"/>
        </w:rPr>
      </w:pPr>
      <w:r>
        <w:rPr>
          <w:rFonts w:hint="default" w:ascii="Times New Roman" w:hAnsi="Times New Roman" w:cs="Times New Roman"/>
        </w:rPr>
        <w:t>若被检产品明示的质量要求低于本细则中检验项目依据的强制性标准要求时，应按照强制性标准要求判定。</w:t>
      </w:r>
    </w:p>
    <w:p w14:paraId="227352EB">
      <w:pPr>
        <w:snapToGrid w:val="0"/>
        <w:spacing w:line="440" w:lineRule="exact"/>
        <w:ind w:firstLine="420" w:firstLineChars="200"/>
        <w:rPr>
          <w:rFonts w:hint="default" w:ascii="Times New Roman" w:hAnsi="Times New Roman" w:cs="Times New Roman"/>
        </w:rPr>
      </w:pPr>
      <w:r>
        <w:rPr>
          <w:rFonts w:hint="default" w:ascii="Times New Roman" w:hAnsi="Times New Roman" w:cs="Times New Roman"/>
        </w:rPr>
        <w:t>若被检产品明示的质量要求低于或包含本细则中检验项目依据的推荐性标准要求时，应以被检产品明示的质量要求判定。</w:t>
      </w:r>
    </w:p>
    <w:p w14:paraId="34764D08">
      <w:pPr>
        <w:snapToGrid w:val="0"/>
        <w:spacing w:line="440" w:lineRule="exact"/>
        <w:ind w:firstLine="420" w:firstLineChars="200"/>
        <w:rPr>
          <w:rFonts w:hint="default" w:ascii="Times New Roman" w:hAnsi="Times New Roman" w:cs="Times New Roman"/>
        </w:rPr>
      </w:pPr>
      <w:r>
        <w:rPr>
          <w:rFonts w:hint="default" w:ascii="Times New Roman" w:hAnsi="Times New Roman" w:cs="Times New Roman"/>
        </w:rPr>
        <w:t>若被检产品明示的质量要求缺少本细则中检验项目依据的强制性标准要求时，应按照强制性标准要求判定。</w:t>
      </w:r>
    </w:p>
    <w:p w14:paraId="32C3B509">
      <w:pPr>
        <w:snapToGrid w:val="0"/>
        <w:spacing w:line="440" w:lineRule="exact"/>
        <w:ind w:firstLine="420" w:firstLineChars="200"/>
        <w:rPr>
          <w:rFonts w:hint="default" w:ascii="Times New Roman" w:hAnsi="Times New Roman" w:cs="Times New Roman"/>
        </w:rPr>
      </w:pPr>
      <w:r>
        <w:rPr>
          <w:rFonts w:hint="default" w:ascii="Times New Roman" w:hAnsi="Times New Roman" w:cs="Times New Roman"/>
        </w:rPr>
        <w:t>若被检产品明示的质量要求缺少本细则中检验项目依据的推荐性标准要求时，该项目不参与判定。</w:t>
      </w:r>
    </w:p>
    <w:p w14:paraId="183B011C">
      <w:pPr>
        <w:spacing w:before="156" w:beforeLines="50" w:line="440" w:lineRule="exact"/>
        <w:ind w:left="420" w:hanging="420" w:hangingChars="200"/>
        <w:outlineLvl w:val="0"/>
        <w:rPr>
          <w:rFonts w:hint="default" w:ascii="Times New Roman" w:hAnsi="Times New Roman" w:eastAsia="黑体" w:cs="Times New Roman"/>
          <w:color w:val="000000"/>
          <w:szCs w:val="21"/>
        </w:rPr>
      </w:pPr>
      <w:r>
        <w:rPr>
          <w:rFonts w:hint="eastAsia" w:eastAsia="黑体" w:cs="Times New Roman"/>
          <w:color w:val="000000"/>
          <w:szCs w:val="21"/>
          <w:lang w:val="en-US" w:eastAsia="zh-CN"/>
        </w:rPr>
        <w:t>4</w:t>
      </w:r>
      <w:r>
        <w:rPr>
          <w:rFonts w:hint="default" w:ascii="Times New Roman" w:hAnsi="Times New Roman" w:eastAsia="黑体" w:cs="Times New Roman"/>
          <w:color w:val="000000"/>
          <w:szCs w:val="21"/>
        </w:rPr>
        <w:t xml:space="preserve"> </w:t>
      </w:r>
      <w:r>
        <w:rPr>
          <w:rFonts w:hint="eastAsia" w:eastAsia="黑体" w:cs="Times New Roman"/>
          <w:color w:val="000000"/>
          <w:szCs w:val="21"/>
          <w:lang w:val="en-US" w:eastAsia="zh-CN"/>
        </w:rPr>
        <w:t>附</w:t>
      </w:r>
      <w:r>
        <w:rPr>
          <w:rFonts w:hint="default" w:ascii="Times New Roman" w:hAnsi="Times New Roman" w:eastAsia="黑体" w:cs="Times New Roman"/>
          <w:color w:val="000000"/>
          <w:szCs w:val="21"/>
        </w:rPr>
        <w:t>则</w:t>
      </w:r>
      <w:bookmarkStart w:id="1" w:name="_GoBack"/>
      <w:bookmarkEnd w:id="1"/>
    </w:p>
    <w:p w14:paraId="3812E305">
      <w:pPr>
        <w:snapToGrid w:val="0"/>
        <w:spacing w:line="440" w:lineRule="exact"/>
        <w:ind w:firstLine="420" w:firstLineChars="200"/>
        <w:rPr>
          <w:rFonts w:hint="default" w:ascii="Times New Roman" w:hAnsi="Times New Roman" w:cs="Times New Roman"/>
          <w:lang w:val="en-US" w:eastAsia="zh-CN"/>
        </w:rPr>
      </w:pPr>
      <w:r>
        <w:rPr>
          <w:rFonts w:hint="eastAsia" w:ascii="Times New Roman" w:hAnsi="Times New Roman" w:cs="Times New Roman"/>
          <w:lang w:val="en-US" w:eastAsia="zh-CN"/>
        </w:rPr>
        <w:t>本细则首次发布。</w:t>
      </w:r>
    </w:p>
    <w:p w14:paraId="2A3F36CC">
      <w:pPr>
        <w:snapToGrid w:val="0"/>
        <w:spacing w:line="440" w:lineRule="exact"/>
        <w:ind w:firstLine="420" w:firstLineChars="200"/>
        <w:rPr>
          <w:rFonts w:hint="default" w:ascii="Times New Roman" w:hAnsi="Times New Roman" w:cs="Times New Roman"/>
        </w:rPr>
      </w:pPr>
    </w:p>
    <w:p w14:paraId="1435923D">
      <w:pPr>
        <w:snapToGrid w:val="0"/>
        <w:spacing w:line="440" w:lineRule="exact"/>
        <w:ind w:firstLine="420" w:firstLineChars="200"/>
        <w:rPr>
          <w:rFonts w:hint="default" w:ascii="Times New Roman" w:hAnsi="Times New Roman" w:cs="Times New Roman"/>
        </w:rPr>
      </w:pPr>
    </w:p>
    <w:sectPr>
      <w:headerReference r:id="rId3" w:type="default"/>
      <w:footerReference r:id="rId4" w:type="default"/>
      <w:footerReference r:id="rId5" w:type="even"/>
      <w:pgSz w:w="11906" w:h="16838"/>
      <w:pgMar w:top="1985" w:right="1474" w:bottom="1644" w:left="1474" w:header="851" w:footer="1191"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ED9D74E9-F530-44BB-8F22-78C48F467021}"/>
  </w:font>
  <w:font w:name="Arial">
    <w:panose1 w:val="020B0604020202020204"/>
    <w:charset w:val="01"/>
    <w:family w:val="swiss"/>
    <w:pitch w:val="default"/>
    <w:sig w:usb0="E0002EFF" w:usb1="C000785B" w:usb2="00000009" w:usb3="00000000" w:csb0="400001FF" w:csb1="FFFF0000"/>
    <w:embedRegular r:id="rId2" w:fontKey="{DC8765CC-EC25-42FC-8226-79D07A3FD2C9}"/>
  </w:font>
  <w:font w:name="黑体">
    <w:panose1 w:val="02010609060101010101"/>
    <w:charset w:val="86"/>
    <w:family w:val="auto"/>
    <w:pitch w:val="default"/>
    <w:sig w:usb0="800002BF" w:usb1="38CF7CFA" w:usb2="00000016" w:usb3="00000000" w:csb0="00040001" w:csb1="00000000"/>
    <w:embedRegular r:id="rId3" w:fontKey="{34BB4101-D949-44BC-A86B-04CB585AF409}"/>
  </w:font>
  <w:font w:name="Courier New">
    <w:panose1 w:val="02070309020205020404"/>
    <w:charset w:val="01"/>
    <w:family w:val="modern"/>
    <w:pitch w:val="default"/>
    <w:sig w:usb0="E0002EFF" w:usb1="C0007843" w:usb2="00000009" w:usb3="00000000" w:csb0="400001FF" w:csb1="FFFF0000"/>
    <w:embedRegular r:id="rId4" w:fontKey="{B6F7C2D7-724E-464B-B90D-8CF0315A917E}"/>
  </w:font>
  <w:font w:name="Symbol">
    <w:panose1 w:val="05050102010706020507"/>
    <w:charset w:val="02"/>
    <w:family w:val="roman"/>
    <w:pitch w:val="default"/>
    <w:sig w:usb0="00000000" w:usb1="00000000" w:usb2="00000000" w:usb3="00000000" w:csb0="80000000" w:csb1="00000000"/>
    <w:embedRegular r:id="rId5" w:fontKey="{6FAE31A5-AC13-4486-93FE-6EFAA4F214E6}"/>
  </w:font>
  <w:font w:name="Calibri">
    <w:panose1 w:val="020F0502020204030204"/>
    <w:charset w:val="00"/>
    <w:family w:val="swiss"/>
    <w:pitch w:val="default"/>
    <w:sig w:usb0="E4002EFF" w:usb1="C200247B" w:usb2="00000009" w:usb3="00000000" w:csb0="200001FF" w:csb1="00000000"/>
    <w:embedRegular r:id="rId6" w:fontKey="{21F85DE5-41F4-43F1-9ADA-A8A1CB019479}"/>
  </w:font>
  <w:font w:name="方正小标宋简体">
    <w:panose1 w:val="02010601030101010101"/>
    <w:charset w:val="86"/>
    <w:family w:val="auto"/>
    <w:pitch w:val="default"/>
    <w:sig w:usb0="00000001" w:usb1="080E0000" w:usb2="00000000" w:usb3="00000000" w:csb0="00040000" w:csb1="00000000"/>
  </w:font>
  <w:font w:name="微软雅黑">
    <w:panose1 w:val="020B0503020204020204"/>
    <w:charset w:val="86"/>
    <w:family w:val="swiss"/>
    <w:pitch w:val="default"/>
    <w:sig w:usb0="80000287" w:usb1="2ACF3C50" w:usb2="00000016" w:usb3="00000000" w:csb0="0004001F" w:csb1="00000000"/>
    <w:embedRegular r:id="rId7" w:fontKey="{7F0B9A2D-6A06-4042-8DFC-4EC271BD7B34}"/>
  </w:font>
  <w:font w:name="仿宋">
    <w:panose1 w:val="02010609060101010101"/>
    <w:charset w:val="86"/>
    <w:family w:val="modern"/>
    <w:pitch w:val="default"/>
    <w:sig w:usb0="800002BF" w:usb1="38CF7CFA" w:usb2="00000016" w:usb3="00000000" w:csb0="00040001" w:csb1="00000000"/>
    <w:embedRegular r:id="rId8" w:fontKey="{2CF147E9-2400-4664-8965-917FD8D56233}"/>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BF4D980">
    <w:pPr>
      <w:pStyle w:val="6"/>
      <w:jc w:val="center"/>
    </w:pPr>
    <w:r>
      <w:rPr>
        <w:lang w:val="zh-CN"/>
      </w:rPr>
      <w:fldChar w:fldCharType="begin"/>
    </w:r>
    <w:r>
      <w:rPr>
        <w:lang w:val="zh-CN"/>
      </w:rPr>
      <w:instrText xml:space="preserve"> PAGE   \* MERGEFORMAT </w:instrText>
    </w:r>
    <w:r>
      <w:rPr>
        <w:lang w:val="zh-CN"/>
      </w:rPr>
      <w:fldChar w:fldCharType="separate"/>
    </w:r>
    <w:r>
      <w:t>2</w:t>
    </w:r>
    <w:r>
      <w:rPr>
        <w:lang w:val="zh-CN"/>
      </w:rPr>
      <w:fldChar w:fldCharType="end"/>
    </w:r>
  </w:p>
  <w:p w14:paraId="03A814F9">
    <w:pPr>
      <w:pStyle w:val="6"/>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045BBF">
    <w:pPr>
      <w:pStyle w:val="6"/>
      <w:framePr w:wrap="around" w:vAnchor="text" w:hAnchor="margin" w:xAlign="center" w:y="1"/>
      <w:rPr>
        <w:rStyle w:val="13"/>
      </w:rPr>
    </w:pPr>
    <w:r>
      <w:fldChar w:fldCharType="begin"/>
    </w:r>
    <w:r>
      <w:rPr>
        <w:rStyle w:val="13"/>
      </w:rPr>
      <w:instrText xml:space="preserve">PAGE  </w:instrText>
    </w:r>
    <w:r>
      <w:fldChar w:fldCharType="separate"/>
    </w:r>
    <w:r>
      <w:rPr>
        <w:rStyle w:val="13"/>
      </w:rPr>
      <w:t>2</w:t>
    </w:r>
    <w:r>
      <w:fldChar w:fldCharType="end"/>
    </w:r>
  </w:p>
  <w:p w14:paraId="0BC5A59C">
    <w:pPr>
      <w:pStyle w:val="6"/>
      <w:ind w:right="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07DD64C">
    <w:pPr>
      <w:pStyle w:val="7"/>
      <w:pBdr>
        <w:bottom w:val="none" w:color="auto" w:sz="0" w:space="0"/>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ocumentProtection w:enforcement="0"/>
  <w:defaultTabStop w:val="420"/>
  <w:drawingGridVerticalSpacing w:val="156"/>
  <w:noPunctuationKerning w:val="1"/>
  <w:characterSpacingControl w:val="compressPunctuation"/>
  <w:doNotValidateAgainstSchema/>
  <w:doNotDemarcateInvalidXml/>
  <w:compat>
    <w:spaceForUL/>
    <w:balanceSingleByteDoubleByteWidth/>
    <w:doNotLeaveBackslashAlone/>
    <w:ulTrailSpace/>
    <w:doNotExpandShiftReturn/>
    <w:adjustLineHeightInTable/>
    <w:doNotWrapTextWithPunct/>
    <w:doNotUseEastAsianBreak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2"/>
  </w:compat>
  <w:docVars>
    <w:docVar w:name="commondata" w:val="eyJoZGlkIjoiMWU1MTU2MzAzMzNhZTkxNGU3YzRiYzI5MDg3MTQwZmQifQ=="/>
    <w:docVar w:name="KSO_WPS_MARK_KEY" w:val="222f71ee-3b02-40ed-a0f0-d67895b96196"/>
  </w:docVars>
  <w:rsids>
    <w:rsidRoot w:val="00172A27"/>
    <w:rsid w:val="000015A9"/>
    <w:rsid w:val="00005A23"/>
    <w:rsid w:val="0001047A"/>
    <w:rsid w:val="00016015"/>
    <w:rsid w:val="00022CF6"/>
    <w:rsid w:val="000262B1"/>
    <w:rsid w:val="00042290"/>
    <w:rsid w:val="00047FC6"/>
    <w:rsid w:val="0005098C"/>
    <w:rsid w:val="00051A44"/>
    <w:rsid w:val="00055E04"/>
    <w:rsid w:val="00056EFB"/>
    <w:rsid w:val="00062020"/>
    <w:rsid w:val="00063D3D"/>
    <w:rsid w:val="00075012"/>
    <w:rsid w:val="00081CBD"/>
    <w:rsid w:val="00087178"/>
    <w:rsid w:val="000976DE"/>
    <w:rsid w:val="000A7653"/>
    <w:rsid w:val="000B55EC"/>
    <w:rsid w:val="000B77B8"/>
    <w:rsid w:val="000C4168"/>
    <w:rsid w:val="000E5E38"/>
    <w:rsid w:val="000E717E"/>
    <w:rsid w:val="000F37E9"/>
    <w:rsid w:val="000F7E84"/>
    <w:rsid w:val="00102325"/>
    <w:rsid w:val="0011307B"/>
    <w:rsid w:val="00116C3C"/>
    <w:rsid w:val="00132981"/>
    <w:rsid w:val="00144DDB"/>
    <w:rsid w:val="00145F38"/>
    <w:rsid w:val="001551EB"/>
    <w:rsid w:val="00160C00"/>
    <w:rsid w:val="00172A27"/>
    <w:rsid w:val="001809DD"/>
    <w:rsid w:val="00181A55"/>
    <w:rsid w:val="00182A23"/>
    <w:rsid w:val="001837C2"/>
    <w:rsid w:val="00183BA1"/>
    <w:rsid w:val="00190EC9"/>
    <w:rsid w:val="001917F5"/>
    <w:rsid w:val="00192650"/>
    <w:rsid w:val="001A0C2F"/>
    <w:rsid w:val="001A6F1C"/>
    <w:rsid w:val="001B5558"/>
    <w:rsid w:val="001B56EA"/>
    <w:rsid w:val="001B5F40"/>
    <w:rsid w:val="001C4858"/>
    <w:rsid w:val="001D73A6"/>
    <w:rsid w:val="001E6BF8"/>
    <w:rsid w:val="001F472B"/>
    <w:rsid w:val="00202A40"/>
    <w:rsid w:val="0020610D"/>
    <w:rsid w:val="00207556"/>
    <w:rsid w:val="00221A51"/>
    <w:rsid w:val="00223874"/>
    <w:rsid w:val="00224451"/>
    <w:rsid w:val="00234159"/>
    <w:rsid w:val="00253624"/>
    <w:rsid w:val="0025531F"/>
    <w:rsid w:val="00287AC1"/>
    <w:rsid w:val="00290104"/>
    <w:rsid w:val="002948D6"/>
    <w:rsid w:val="00296D43"/>
    <w:rsid w:val="00297B5B"/>
    <w:rsid w:val="002A6FBA"/>
    <w:rsid w:val="002C3DA2"/>
    <w:rsid w:val="002D5B3E"/>
    <w:rsid w:val="002D5B5F"/>
    <w:rsid w:val="002D7399"/>
    <w:rsid w:val="002D7F8A"/>
    <w:rsid w:val="002E0D1D"/>
    <w:rsid w:val="002F2B37"/>
    <w:rsid w:val="002F50A5"/>
    <w:rsid w:val="00305122"/>
    <w:rsid w:val="003124E6"/>
    <w:rsid w:val="003203A3"/>
    <w:rsid w:val="00335D2F"/>
    <w:rsid w:val="00336410"/>
    <w:rsid w:val="00336608"/>
    <w:rsid w:val="0033720A"/>
    <w:rsid w:val="00345AB1"/>
    <w:rsid w:val="00353C79"/>
    <w:rsid w:val="00361368"/>
    <w:rsid w:val="003613C5"/>
    <w:rsid w:val="00361907"/>
    <w:rsid w:val="00365D8D"/>
    <w:rsid w:val="00367DBB"/>
    <w:rsid w:val="003777AC"/>
    <w:rsid w:val="00383975"/>
    <w:rsid w:val="003A78DF"/>
    <w:rsid w:val="003B18AB"/>
    <w:rsid w:val="003C388C"/>
    <w:rsid w:val="003C3A66"/>
    <w:rsid w:val="003D0E6A"/>
    <w:rsid w:val="003D5DA4"/>
    <w:rsid w:val="003E38A8"/>
    <w:rsid w:val="003E61BF"/>
    <w:rsid w:val="003E6BDF"/>
    <w:rsid w:val="003F3B1F"/>
    <w:rsid w:val="003F5D10"/>
    <w:rsid w:val="00405F1E"/>
    <w:rsid w:val="004113F6"/>
    <w:rsid w:val="00430680"/>
    <w:rsid w:val="0044058A"/>
    <w:rsid w:val="00445E86"/>
    <w:rsid w:val="00473069"/>
    <w:rsid w:val="00474E04"/>
    <w:rsid w:val="00475621"/>
    <w:rsid w:val="00477E2D"/>
    <w:rsid w:val="004813C3"/>
    <w:rsid w:val="00485614"/>
    <w:rsid w:val="004869A1"/>
    <w:rsid w:val="00493A8E"/>
    <w:rsid w:val="00495B76"/>
    <w:rsid w:val="004A139D"/>
    <w:rsid w:val="004A4412"/>
    <w:rsid w:val="004C2A7B"/>
    <w:rsid w:val="004D0C5A"/>
    <w:rsid w:val="004E1396"/>
    <w:rsid w:val="004E18FD"/>
    <w:rsid w:val="004F6F08"/>
    <w:rsid w:val="00501B95"/>
    <w:rsid w:val="005045DD"/>
    <w:rsid w:val="00510344"/>
    <w:rsid w:val="00514563"/>
    <w:rsid w:val="00523FD3"/>
    <w:rsid w:val="00532019"/>
    <w:rsid w:val="00541468"/>
    <w:rsid w:val="00542274"/>
    <w:rsid w:val="005457D0"/>
    <w:rsid w:val="005537EC"/>
    <w:rsid w:val="0055424A"/>
    <w:rsid w:val="00562317"/>
    <w:rsid w:val="00563EBC"/>
    <w:rsid w:val="005D5520"/>
    <w:rsid w:val="005D72F5"/>
    <w:rsid w:val="005E1265"/>
    <w:rsid w:val="005F1184"/>
    <w:rsid w:val="005F1411"/>
    <w:rsid w:val="00600C4C"/>
    <w:rsid w:val="006030D7"/>
    <w:rsid w:val="006104C5"/>
    <w:rsid w:val="006159A9"/>
    <w:rsid w:val="00615ADD"/>
    <w:rsid w:val="0063083F"/>
    <w:rsid w:val="00633C63"/>
    <w:rsid w:val="00640AFD"/>
    <w:rsid w:val="00670ADB"/>
    <w:rsid w:val="00690F38"/>
    <w:rsid w:val="00695D7E"/>
    <w:rsid w:val="006A291E"/>
    <w:rsid w:val="006D6EB3"/>
    <w:rsid w:val="006E1D18"/>
    <w:rsid w:val="006F0971"/>
    <w:rsid w:val="006F2946"/>
    <w:rsid w:val="006F4FD7"/>
    <w:rsid w:val="006F7827"/>
    <w:rsid w:val="0071705F"/>
    <w:rsid w:val="00720142"/>
    <w:rsid w:val="0072334C"/>
    <w:rsid w:val="00735FC8"/>
    <w:rsid w:val="0074311B"/>
    <w:rsid w:val="0074335A"/>
    <w:rsid w:val="007478C2"/>
    <w:rsid w:val="007579EB"/>
    <w:rsid w:val="007652C9"/>
    <w:rsid w:val="00781AE7"/>
    <w:rsid w:val="00781BDF"/>
    <w:rsid w:val="00791DC4"/>
    <w:rsid w:val="00793E0F"/>
    <w:rsid w:val="007B0456"/>
    <w:rsid w:val="007B1686"/>
    <w:rsid w:val="007B4E3D"/>
    <w:rsid w:val="007B560A"/>
    <w:rsid w:val="007C1A39"/>
    <w:rsid w:val="007C2240"/>
    <w:rsid w:val="007C4C6D"/>
    <w:rsid w:val="007C64C0"/>
    <w:rsid w:val="007E0E4B"/>
    <w:rsid w:val="007F0081"/>
    <w:rsid w:val="007F0B36"/>
    <w:rsid w:val="00800C1B"/>
    <w:rsid w:val="00807CC3"/>
    <w:rsid w:val="0081383E"/>
    <w:rsid w:val="0082170D"/>
    <w:rsid w:val="00826E0A"/>
    <w:rsid w:val="00833409"/>
    <w:rsid w:val="008376D1"/>
    <w:rsid w:val="0084212D"/>
    <w:rsid w:val="00843C36"/>
    <w:rsid w:val="008552A8"/>
    <w:rsid w:val="008556B7"/>
    <w:rsid w:val="00861321"/>
    <w:rsid w:val="008652E0"/>
    <w:rsid w:val="008823C8"/>
    <w:rsid w:val="00885E0D"/>
    <w:rsid w:val="00895BEA"/>
    <w:rsid w:val="008A3497"/>
    <w:rsid w:val="008A5984"/>
    <w:rsid w:val="008C1C1C"/>
    <w:rsid w:val="008C1F17"/>
    <w:rsid w:val="008D475C"/>
    <w:rsid w:val="008E5E24"/>
    <w:rsid w:val="008E6887"/>
    <w:rsid w:val="008F16B7"/>
    <w:rsid w:val="008F3648"/>
    <w:rsid w:val="00902C4A"/>
    <w:rsid w:val="00914C73"/>
    <w:rsid w:val="00917485"/>
    <w:rsid w:val="00917A54"/>
    <w:rsid w:val="00931BAF"/>
    <w:rsid w:val="00945F09"/>
    <w:rsid w:val="00947E8D"/>
    <w:rsid w:val="00951FFD"/>
    <w:rsid w:val="009627AE"/>
    <w:rsid w:val="009647F7"/>
    <w:rsid w:val="009807DF"/>
    <w:rsid w:val="00984D9D"/>
    <w:rsid w:val="00996E38"/>
    <w:rsid w:val="009A3D7A"/>
    <w:rsid w:val="009A5BA0"/>
    <w:rsid w:val="009B69C6"/>
    <w:rsid w:val="009C33AE"/>
    <w:rsid w:val="009D028A"/>
    <w:rsid w:val="009E13F7"/>
    <w:rsid w:val="009E2CCA"/>
    <w:rsid w:val="009F1111"/>
    <w:rsid w:val="009F2AE5"/>
    <w:rsid w:val="00A43553"/>
    <w:rsid w:val="00A4355A"/>
    <w:rsid w:val="00A45C45"/>
    <w:rsid w:val="00A47B5E"/>
    <w:rsid w:val="00A47BAB"/>
    <w:rsid w:val="00A63410"/>
    <w:rsid w:val="00A64345"/>
    <w:rsid w:val="00A6710D"/>
    <w:rsid w:val="00A77531"/>
    <w:rsid w:val="00A871AA"/>
    <w:rsid w:val="00A920EE"/>
    <w:rsid w:val="00A9277F"/>
    <w:rsid w:val="00A9353C"/>
    <w:rsid w:val="00AA4481"/>
    <w:rsid w:val="00AA5398"/>
    <w:rsid w:val="00AA5F21"/>
    <w:rsid w:val="00AB0A53"/>
    <w:rsid w:val="00AB2EE9"/>
    <w:rsid w:val="00AD7D3C"/>
    <w:rsid w:val="00AE03B4"/>
    <w:rsid w:val="00AF4D34"/>
    <w:rsid w:val="00AF5276"/>
    <w:rsid w:val="00B04434"/>
    <w:rsid w:val="00B32C25"/>
    <w:rsid w:val="00B362E0"/>
    <w:rsid w:val="00B379BE"/>
    <w:rsid w:val="00B5091F"/>
    <w:rsid w:val="00B5265B"/>
    <w:rsid w:val="00B72501"/>
    <w:rsid w:val="00B76A52"/>
    <w:rsid w:val="00B81DA5"/>
    <w:rsid w:val="00B96533"/>
    <w:rsid w:val="00BC0A3A"/>
    <w:rsid w:val="00BD41BF"/>
    <w:rsid w:val="00BE165E"/>
    <w:rsid w:val="00BF5AD5"/>
    <w:rsid w:val="00C0537D"/>
    <w:rsid w:val="00C26074"/>
    <w:rsid w:val="00C31CA9"/>
    <w:rsid w:val="00C362E6"/>
    <w:rsid w:val="00C73280"/>
    <w:rsid w:val="00C82924"/>
    <w:rsid w:val="00C83B0A"/>
    <w:rsid w:val="00C84641"/>
    <w:rsid w:val="00C9475A"/>
    <w:rsid w:val="00CA082E"/>
    <w:rsid w:val="00CA196F"/>
    <w:rsid w:val="00CB646D"/>
    <w:rsid w:val="00CC076A"/>
    <w:rsid w:val="00CC5B12"/>
    <w:rsid w:val="00CC6923"/>
    <w:rsid w:val="00CD6F3B"/>
    <w:rsid w:val="00CD712A"/>
    <w:rsid w:val="00CE1E0C"/>
    <w:rsid w:val="00CE277E"/>
    <w:rsid w:val="00CF409D"/>
    <w:rsid w:val="00D0617A"/>
    <w:rsid w:val="00D06901"/>
    <w:rsid w:val="00D14A74"/>
    <w:rsid w:val="00D14B80"/>
    <w:rsid w:val="00D56867"/>
    <w:rsid w:val="00D619C4"/>
    <w:rsid w:val="00D64F5B"/>
    <w:rsid w:val="00D73C3D"/>
    <w:rsid w:val="00D74B8A"/>
    <w:rsid w:val="00D8582B"/>
    <w:rsid w:val="00DB78BE"/>
    <w:rsid w:val="00DD0B5F"/>
    <w:rsid w:val="00DD360E"/>
    <w:rsid w:val="00DD6AB4"/>
    <w:rsid w:val="00DE0E04"/>
    <w:rsid w:val="00DE5AB2"/>
    <w:rsid w:val="00DF55DF"/>
    <w:rsid w:val="00DF6FAD"/>
    <w:rsid w:val="00E02A7F"/>
    <w:rsid w:val="00E07880"/>
    <w:rsid w:val="00E23655"/>
    <w:rsid w:val="00E4244F"/>
    <w:rsid w:val="00E613B4"/>
    <w:rsid w:val="00E6334A"/>
    <w:rsid w:val="00E70893"/>
    <w:rsid w:val="00E74CEC"/>
    <w:rsid w:val="00E75E1C"/>
    <w:rsid w:val="00E76257"/>
    <w:rsid w:val="00E80219"/>
    <w:rsid w:val="00E82621"/>
    <w:rsid w:val="00E92D58"/>
    <w:rsid w:val="00EA74DD"/>
    <w:rsid w:val="00ED17CE"/>
    <w:rsid w:val="00ED41B9"/>
    <w:rsid w:val="00ED59B9"/>
    <w:rsid w:val="00EE64CC"/>
    <w:rsid w:val="00EE7A94"/>
    <w:rsid w:val="00F06779"/>
    <w:rsid w:val="00F07607"/>
    <w:rsid w:val="00F23798"/>
    <w:rsid w:val="00F319E3"/>
    <w:rsid w:val="00F41BB1"/>
    <w:rsid w:val="00F5369B"/>
    <w:rsid w:val="00F55A0E"/>
    <w:rsid w:val="00F740E3"/>
    <w:rsid w:val="00F77C9A"/>
    <w:rsid w:val="00F9069C"/>
    <w:rsid w:val="00F94FAF"/>
    <w:rsid w:val="00F975DD"/>
    <w:rsid w:val="00FA3D23"/>
    <w:rsid w:val="00FB0F8E"/>
    <w:rsid w:val="00FB576C"/>
    <w:rsid w:val="00FD2AA6"/>
    <w:rsid w:val="00FE456B"/>
    <w:rsid w:val="00FE7CAA"/>
    <w:rsid w:val="00FE7E8A"/>
    <w:rsid w:val="00FF1A78"/>
    <w:rsid w:val="00FF6A0B"/>
    <w:rsid w:val="0167398B"/>
    <w:rsid w:val="01AC328A"/>
    <w:rsid w:val="025F3F56"/>
    <w:rsid w:val="039821AC"/>
    <w:rsid w:val="0490144A"/>
    <w:rsid w:val="04C66B10"/>
    <w:rsid w:val="070A351A"/>
    <w:rsid w:val="08DC577D"/>
    <w:rsid w:val="093E52FD"/>
    <w:rsid w:val="0A741287"/>
    <w:rsid w:val="0CF15D7A"/>
    <w:rsid w:val="0E7C5C9A"/>
    <w:rsid w:val="0F9A53B5"/>
    <w:rsid w:val="10915B89"/>
    <w:rsid w:val="189B5426"/>
    <w:rsid w:val="18BB2A50"/>
    <w:rsid w:val="1B22448E"/>
    <w:rsid w:val="1E16344F"/>
    <w:rsid w:val="23F92711"/>
    <w:rsid w:val="270059CE"/>
    <w:rsid w:val="2C4547C9"/>
    <w:rsid w:val="2DDB4C35"/>
    <w:rsid w:val="311C3684"/>
    <w:rsid w:val="32974559"/>
    <w:rsid w:val="335223D6"/>
    <w:rsid w:val="35F9034E"/>
    <w:rsid w:val="360A4E39"/>
    <w:rsid w:val="38EF056B"/>
    <w:rsid w:val="394A3014"/>
    <w:rsid w:val="3CD54432"/>
    <w:rsid w:val="3D42082D"/>
    <w:rsid w:val="3EFE4C27"/>
    <w:rsid w:val="409659B5"/>
    <w:rsid w:val="41852E78"/>
    <w:rsid w:val="41BF19B6"/>
    <w:rsid w:val="41FA2C51"/>
    <w:rsid w:val="42462B6D"/>
    <w:rsid w:val="426E3FC7"/>
    <w:rsid w:val="444578FF"/>
    <w:rsid w:val="44723940"/>
    <w:rsid w:val="44BC3B69"/>
    <w:rsid w:val="44CE729D"/>
    <w:rsid w:val="45974F19"/>
    <w:rsid w:val="470A1087"/>
    <w:rsid w:val="480C5B29"/>
    <w:rsid w:val="49F30E16"/>
    <w:rsid w:val="4B3B6117"/>
    <w:rsid w:val="4C444F32"/>
    <w:rsid w:val="4EF822CD"/>
    <w:rsid w:val="4F245FE4"/>
    <w:rsid w:val="50A05224"/>
    <w:rsid w:val="516E7BE7"/>
    <w:rsid w:val="5283009C"/>
    <w:rsid w:val="52A93070"/>
    <w:rsid w:val="554F7B33"/>
    <w:rsid w:val="55C220B3"/>
    <w:rsid w:val="57C655CF"/>
    <w:rsid w:val="5A7D0C9E"/>
    <w:rsid w:val="5A9D27AB"/>
    <w:rsid w:val="5AC41FE0"/>
    <w:rsid w:val="5B187A6A"/>
    <w:rsid w:val="5EBC34AC"/>
    <w:rsid w:val="5F1654C2"/>
    <w:rsid w:val="5F8A740F"/>
    <w:rsid w:val="5FC71D04"/>
    <w:rsid w:val="614242FC"/>
    <w:rsid w:val="656213CB"/>
    <w:rsid w:val="67A96C2F"/>
    <w:rsid w:val="68572B2F"/>
    <w:rsid w:val="689E1934"/>
    <w:rsid w:val="69897588"/>
    <w:rsid w:val="6C640A2C"/>
    <w:rsid w:val="6C79514F"/>
    <w:rsid w:val="6CC71ADF"/>
    <w:rsid w:val="6CFA1CDB"/>
    <w:rsid w:val="6F1C0809"/>
    <w:rsid w:val="7277498D"/>
    <w:rsid w:val="73013E9F"/>
    <w:rsid w:val="74151B9C"/>
    <w:rsid w:val="745C7DC6"/>
    <w:rsid w:val="7563754C"/>
    <w:rsid w:val="7609325D"/>
    <w:rsid w:val="784B64AA"/>
    <w:rsid w:val="79B775E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qFormat="1" w:uiPriority="99" w:semiHidden="0"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qFormat/>
    <w:uiPriority w:val="9"/>
    <w:pPr>
      <w:spacing w:before="100" w:beforeAutospacing="1" w:after="100" w:afterAutospacing="1"/>
      <w:jc w:val="left"/>
      <w:outlineLvl w:val="0"/>
    </w:pPr>
    <w:rPr>
      <w:rFonts w:hint="eastAsia" w:ascii="宋体" w:hAnsi="宋体"/>
      <w:b/>
      <w:bCs/>
      <w:kern w:val="44"/>
      <w:sz w:val="48"/>
      <w:szCs w:val="48"/>
    </w:rPr>
  </w:style>
  <w:style w:type="character" w:default="1" w:styleId="11">
    <w:name w:val="Default Paragraph Font"/>
    <w:semiHidden/>
    <w:unhideWhenUsed/>
    <w:qFormat/>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3">
    <w:name w:val="Document Map"/>
    <w:basedOn w:val="1"/>
    <w:link w:val="15"/>
    <w:unhideWhenUsed/>
    <w:qFormat/>
    <w:uiPriority w:val="99"/>
    <w:rPr>
      <w:rFonts w:ascii="宋体"/>
      <w:sz w:val="18"/>
      <w:szCs w:val="18"/>
    </w:rPr>
  </w:style>
  <w:style w:type="paragraph" w:styleId="4">
    <w:name w:val="annotation text"/>
    <w:basedOn w:val="1"/>
    <w:link w:val="16"/>
    <w:unhideWhenUsed/>
    <w:qFormat/>
    <w:uiPriority w:val="99"/>
    <w:pPr>
      <w:jc w:val="left"/>
    </w:pPr>
  </w:style>
  <w:style w:type="paragraph" w:styleId="5">
    <w:name w:val="Balloon Text"/>
    <w:basedOn w:val="1"/>
    <w:link w:val="17"/>
    <w:unhideWhenUsed/>
    <w:qFormat/>
    <w:uiPriority w:val="99"/>
    <w:rPr>
      <w:sz w:val="18"/>
      <w:szCs w:val="18"/>
    </w:rPr>
  </w:style>
  <w:style w:type="paragraph" w:styleId="6">
    <w:name w:val="footer"/>
    <w:basedOn w:val="1"/>
    <w:link w:val="18"/>
    <w:unhideWhenUsed/>
    <w:qFormat/>
    <w:uiPriority w:val="99"/>
    <w:pPr>
      <w:tabs>
        <w:tab w:val="center" w:pos="4153"/>
        <w:tab w:val="right" w:pos="8306"/>
      </w:tabs>
      <w:snapToGrid w:val="0"/>
      <w:jc w:val="left"/>
    </w:pPr>
    <w:rPr>
      <w:sz w:val="18"/>
      <w:szCs w:val="18"/>
    </w:rPr>
  </w:style>
  <w:style w:type="paragraph" w:styleId="7">
    <w:name w:val="header"/>
    <w:basedOn w:val="1"/>
    <w:link w:val="19"/>
    <w:unhideWhenUsed/>
    <w:qFormat/>
    <w:uiPriority w:val="99"/>
    <w:pPr>
      <w:pBdr>
        <w:bottom w:val="single" w:color="auto" w:sz="6" w:space="1"/>
      </w:pBdr>
      <w:tabs>
        <w:tab w:val="center" w:pos="4153"/>
        <w:tab w:val="right" w:pos="8306"/>
      </w:tabs>
      <w:snapToGrid w:val="0"/>
      <w:jc w:val="center"/>
    </w:pPr>
    <w:rPr>
      <w:sz w:val="18"/>
      <w:szCs w:val="18"/>
    </w:rPr>
  </w:style>
  <w:style w:type="paragraph" w:styleId="8">
    <w:name w:val="annotation subject"/>
    <w:basedOn w:val="4"/>
    <w:next w:val="4"/>
    <w:link w:val="20"/>
    <w:unhideWhenUsed/>
    <w:qFormat/>
    <w:uiPriority w:val="99"/>
    <w:rPr>
      <w:b/>
      <w:bCs/>
    </w:rPr>
  </w:style>
  <w:style w:type="table" w:styleId="10">
    <w:name w:val="Table Grid"/>
    <w:basedOn w:val="9"/>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2">
    <w:name w:val="Strong"/>
    <w:basedOn w:val="11"/>
    <w:qFormat/>
    <w:uiPriority w:val="22"/>
    <w:rPr>
      <w:b/>
    </w:rPr>
  </w:style>
  <w:style w:type="character" w:styleId="13">
    <w:name w:val="page number"/>
    <w:qFormat/>
    <w:uiPriority w:val="0"/>
  </w:style>
  <w:style w:type="character" w:styleId="14">
    <w:name w:val="annotation reference"/>
    <w:unhideWhenUsed/>
    <w:qFormat/>
    <w:uiPriority w:val="99"/>
    <w:rPr>
      <w:sz w:val="21"/>
      <w:szCs w:val="21"/>
    </w:rPr>
  </w:style>
  <w:style w:type="character" w:customStyle="1" w:styleId="15">
    <w:name w:val="文档结构图 字符"/>
    <w:link w:val="3"/>
    <w:semiHidden/>
    <w:qFormat/>
    <w:uiPriority w:val="99"/>
    <w:rPr>
      <w:rFonts w:ascii="宋体"/>
      <w:kern w:val="2"/>
      <w:sz w:val="18"/>
      <w:szCs w:val="18"/>
    </w:rPr>
  </w:style>
  <w:style w:type="character" w:customStyle="1" w:styleId="16">
    <w:name w:val="批注文字 字符"/>
    <w:link w:val="4"/>
    <w:semiHidden/>
    <w:qFormat/>
    <w:uiPriority w:val="99"/>
    <w:rPr>
      <w:kern w:val="2"/>
      <w:sz w:val="21"/>
      <w:szCs w:val="24"/>
    </w:rPr>
  </w:style>
  <w:style w:type="character" w:customStyle="1" w:styleId="17">
    <w:name w:val="批注框文本 字符"/>
    <w:link w:val="5"/>
    <w:semiHidden/>
    <w:qFormat/>
    <w:uiPriority w:val="99"/>
    <w:rPr>
      <w:kern w:val="2"/>
      <w:sz w:val="18"/>
      <w:szCs w:val="18"/>
    </w:rPr>
  </w:style>
  <w:style w:type="character" w:customStyle="1" w:styleId="18">
    <w:name w:val="页脚 字符"/>
    <w:link w:val="6"/>
    <w:qFormat/>
    <w:uiPriority w:val="99"/>
    <w:rPr>
      <w:kern w:val="2"/>
      <w:sz w:val="18"/>
      <w:szCs w:val="18"/>
    </w:rPr>
  </w:style>
  <w:style w:type="character" w:customStyle="1" w:styleId="19">
    <w:name w:val="页眉 字符"/>
    <w:link w:val="7"/>
    <w:semiHidden/>
    <w:qFormat/>
    <w:uiPriority w:val="99"/>
    <w:rPr>
      <w:kern w:val="2"/>
      <w:sz w:val="18"/>
      <w:szCs w:val="18"/>
    </w:rPr>
  </w:style>
  <w:style w:type="character" w:customStyle="1" w:styleId="20">
    <w:name w:val="批注主题 字符"/>
    <w:link w:val="8"/>
    <w:semiHidden/>
    <w:qFormat/>
    <w:uiPriority w:val="99"/>
    <w:rPr>
      <w:b/>
      <w:bCs/>
      <w:kern w:val="2"/>
      <w:sz w:val="21"/>
      <w:szCs w:val="24"/>
    </w:rPr>
  </w:style>
  <w:style w:type="paragraph" w:customStyle="1" w:styleId="21">
    <w:name w:val="列出段落1"/>
    <w:basedOn w:val="1"/>
    <w:qFormat/>
    <w:uiPriority w:val="34"/>
    <w:pPr>
      <w:ind w:firstLine="420" w:firstLineChars="200"/>
    </w:pPr>
    <w:rPr>
      <w:rFonts w:ascii="Calibri" w:hAnsi="Calibri"/>
      <w:szCs w:val="22"/>
    </w:rPr>
  </w:style>
  <w:style w:type="paragraph" w:customStyle="1" w:styleId="22">
    <w:name w:val="修订1"/>
    <w:unhideWhenUsed/>
    <w:qFormat/>
    <w:uiPriority w:val="99"/>
    <w:rPr>
      <w:rFonts w:ascii="Times New Roman" w:hAnsi="Times New Roman" w:eastAsia="宋体" w:cs="Times New Roman"/>
      <w:kern w:val="2"/>
      <w:sz w:val="21"/>
      <w:szCs w:val="24"/>
      <w:lang w:val="en-US" w:eastAsia="zh-CN" w:bidi="ar-SA"/>
    </w:rPr>
  </w:style>
  <w:style w:type="paragraph" w:customStyle="1" w:styleId="23">
    <w:name w:val="Revision"/>
    <w:hidden/>
    <w:unhideWhenUsed/>
    <w:qFormat/>
    <w:uiPriority w:val="99"/>
    <w:rPr>
      <w:rFonts w:ascii="Times New Roman" w:hAnsi="Times New Roman"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1.xml"/><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5B6C47-5DC4-4CE6-8C02-897628EDE1C6}">
  <ds:schemaRefs/>
</ds:datastoreItem>
</file>

<file path=docProps/app.xml><?xml version="1.0" encoding="utf-8"?>
<Properties xmlns="http://schemas.openxmlformats.org/officeDocument/2006/extended-properties" xmlns:vt="http://schemas.openxmlformats.org/officeDocument/2006/docPropsVTypes">
  <Template>Normal</Template>
  <Pages>3</Pages>
  <Words>1042</Words>
  <Characters>1488</Characters>
  <Lines>21</Lines>
  <Paragraphs>6</Paragraphs>
  <TotalTime>1</TotalTime>
  <ScaleCrop>false</ScaleCrop>
  <LinksUpToDate>false</LinksUpToDate>
  <CharactersWithSpaces>1556</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2023-08-28T08:26:00Z</dcterms:created>
  <dc:creator>白彪平</dc:creator>
  <cp:lastModifiedBy>BP.Bai</cp:lastModifiedBy>
  <cp:lastPrinted>2019-12-05T07:53:00Z</cp:lastPrinted>
  <dcterms:modified xsi:type="dcterms:W3CDTF">2025-06-18T08:07:39Z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2052-12.1.0.18276</vt:lpwstr>
  </property>
  <property fmtid="{D5CDD505-2E9C-101B-9397-08002B2CF9AE}" pid="3" name="KSOSaveFontToCloudKey">
    <vt:lpwstr>550453206_embed</vt:lpwstr>
  </property>
  <property fmtid="{D5CDD505-2E9C-101B-9397-08002B2CF9AE}" pid="4" name="ICV">
    <vt:lpwstr>44D84A260D6946148F54F05709809CB5_13</vt:lpwstr>
  </property>
</Properties>
</file>