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03B11">
      <w:pPr>
        <w:adjustRightInd w:val="0"/>
        <w:snapToGrid w:val="0"/>
        <w:spacing w:line="440" w:lineRule="exact"/>
        <w:jc w:val="center"/>
        <w:rPr>
          <w:rFonts w:hint="eastAsia" w:eastAsia="方正小标宋简体" w:cs="方正仿宋简体"/>
          <w:color w:val="000000"/>
          <w:sz w:val="36"/>
          <w:szCs w:val="36"/>
        </w:rPr>
      </w:pPr>
      <w:bookmarkStart w:id="0" w:name="_Hlk102658712"/>
      <w:r>
        <w:rPr>
          <w:rFonts w:hint="eastAsia" w:eastAsia="方正小标宋简体" w:cs="方正仿宋简体"/>
          <w:color w:val="000000"/>
          <w:sz w:val="36"/>
          <w:szCs w:val="36"/>
          <w:lang w:val="en-US" w:eastAsia="zh-CN"/>
        </w:rPr>
        <w:t>西藏自治区</w:t>
      </w:r>
      <w:r>
        <w:rPr>
          <w:rFonts w:hint="eastAsia" w:eastAsia="方正小标宋简体" w:cs="方正仿宋简体"/>
          <w:color w:val="000000"/>
          <w:sz w:val="36"/>
          <w:szCs w:val="36"/>
        </w:rPr>
        <w:t>婴幼儿用塑料奶瓶</w:t>
      </w:r>
      <w:bookmarkEnd w:id="0"/>
      <w:r>
        <w:rPr>
          <w:rFonts w:hint="eastAsia" w:eastAsia="方正小标宋简体" w:cs="方正仿宋简体"/>
          <w:color w:val="000000"/>
          <w:sz w:val="36"/>
          <w:szCs w:val="36"/>
        </w:rPr>
        <w:t>产品质量</w:t>
      </w:r>
    </w:p>
    <w:p w14:paraId="04CA9CC0">
      <w:pPr>
        <w:adjustRightInd w:val="0"/>
        <w:snapToGrid w:val="0"/>
        <w:spacing w:line="440" w:lineRule="exact"/>
        <w:jc w:val="center"/>
        <w:rPr>
          <w:rFonts w:eastAsia="方正小标宋简体" w:cs="方正仿宋简体"/>
          <w:color w:val="000000"/>
          <w:sz w:val="36"/>
          <w:szCs w:val="36"/>
        </w:rPr>
      </w:pPr>
      <w:r>
        <w:rPr>
          <w:rFonts w:hint="eastAsia" w:eastAsia="方正小标宋简体" w:cs="方正仿宋简体"/>
          <w:color w:val="000000"/>
          <w:sz w:val="36"/>
          <w:szCs w:val="36"/>
        </w:rPr>
        <w:t>监督抽查实施细则</w:t>
      </w:r>
    </w:p>
    <w:p w14:paraId="43429586">
      <w:pPr>
        <w:spacing w:line="440" w:lineRule="exact"/>
        <w:jc w:val="center"/>
        <w:rPr>
          <w:rFonts w:eastAsia="方正小标宋简体"/>
          <w:color w:val="000000"/>
          <w:sz w:val="36"/>
          <w:szCs w:val="36"/>
        </w:rPr>
      </w:pPr>
      <w:r>
        <w:rPr>
          <w:rFonts w:hint="eastAsia" w:eastAsia="方正小标宋简体" w:cs="方正仿宋简体"/>
          <w:color w:val="000000"/>
          <w:sz w:val="36"/>
          <w:szCs w:val="36"/>
        </w:rPr>
        <w:t>（202</w:t>
      </w:r>
      <w:r>
        <w:rPr>
          <w:rFonts w:hint="eastAsia" w:eastAsia="方正小标宋简体" w:cs="方正仿宋简体"/>
          <w:color w:val="000000"/>
          <w:sz w:val="36"/>
          <w:szCs w:val="36"/>
          <w:lang w:val="en-US" w:eastAsia="zh-CN"/>
        </w:rPr>
        <w:t>5</w:t>
      </w:r>
      <w:r>
        <w:rPr>
          <w:rFonts w:hint="eastAsia" w:eastAsia="方正小标宋简体" w:cs="方正仿宋简体"/>
          <w:color w:val="000000"/>
          <w:sz w:val="36"/>
          <w:szCs w:val="36"/>
        </w:rPr>
        <w:t>版）</w:t>
      </w:r>
    </w:p>
    <w:p w14:paraId="5CE4392C">
      <w:pPr>
        <w:adjustRightInd w:val="0"/>
        <w:snapToGrid w:val="0"/>
        <w:spacing w:line="594" w:lineRule="exact"/>
        <w:jc w:val="center"/>
        <w:rPr>
          <w:rFonts w:eastAsia="方正小标宋简体" w:cs="方正仿宋简体"/>
          <w:color w:val="000000"/>
          <w:sz w:val="32"/>
          <w:szCs w:val="32"/>
        </w:rPr>
      </w:pPr>
    </w:p>
    <w:p w14:paraId="3A723A01">
      <w:pPr>
        <w:snapToGrid w:val="0"/>
        <w:spacing w:line="440" w:lineRule="exact"/>
        <w:rPr>
          <w:rFonts w:eastAsia="黑体"/>
          <w:szCs w:val="21"/>
        </w:rPr>
      </w:pPr>
      <w:r>
        <w:rPr>
          <w:rFonts w:hint="eastAsia" w:eastAsia="黑体"/>
          <w:color w:val="000000"/>
          <w:szCs w:val="21"/>
        </w:rPr>
        <w:t>1 抽样方法</w:t>
      </w:r>
    </w:p>
    <w:p w14:paraId="1B551266">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以随机抽样的方式在被抽样销售者的待销产品中抽取。</w:t>
      </w:r>
    </w:p>
    <w:p w14:paraId="225A9B5E">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2DCDB0A2">
      <w:pPr>
        <w:snapToGrid w:val="0"/>
        <w:spacing w:line="440" w:lineRule="exact"/>
        <w:rPr>
          <w:szCs w:val="21"/>
        </w:rPr>
      </w:pPr>
      <w:r>
        <w:rPr>
          <w:szCs w:val="21"/>
        </w:rPr>
        <w:tab/>
      </w:r>
      <w:r>
        <w:rPr>
          <w:rFonts w:hint="eastAsia"/>
          <w:szCs w:val="21"/>
        </w:rPr>
        <w:t>抽样</w:t>
      </w:r>
      <w:r>
        <w:rPr>
          <w:szCs w:val="21"/>
        </w:rPr>
        <w:t>数量</w:t>
      </w:r>
      <w:r>
        <w:rPr>
          <w:rFonts w:hint="eastAsia"/>
          <w:szCs w:val="21"/>
          <w:lang w:val="en-US" w:eastAsia="zh-CN"/>
        </w:rPr>
        <w:t>见表1。</w:t>
      </w:r>
    </w:p>
    <w:p w14:paraId="1E1509A7">
      <w:pPr>
        <w:snapToGrid w:val="0"/>
        <w:spacing w:line="440" w:lineRule="exact"/>
        <w:jc w:val="center"/>
        <w:rPr>
          <w:szCs w:val="21"/>
        </w:rPr>
      </w:pPr>
      <w:r>
        <w:rPr>
          <w:rFonts w:hint="eastAsia" w:ascii="Times New Roman" w:hAnsi="Times New Roman" w:cs="Times New Roman"/>
          <w:color w:val="000000"/>
        </w:rPr>
        <w:t>表</w:t>
      </w:r>
      <w:r>
        <w:rPr>
          <w:rFonts w:ascii="Times New Roman" w:hAnsi="Times New Roman" w:cs="Times New Roman"/>
          <w:color w:val="000000"/>
        </w:rPr>
        <w:t xml:space="preserve">1 </w:t>
      </w:r>
      <w:r>
        <w:rPr>
          <w:rFonts w:hint="eastAsia" w:ascii="Times New Roman" w:hAnsi="Times New Roman" w:cs="Times New Roman"/>
          <w:color w:val="000000"/>
        </w:rPr>
        <w:t>抽样数量</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3"/>
        <w:gridCol w:w="1882"/>
        <w:gridCol w:w="1963"/>
        <w:gridCol w:w="1676"/>
      </w:tblGrid>
      <w:tr w14:paraId="3653E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0" w:type="pct"/>
            <w:noWrap w:val="0"/>
            <w:vAlign w:val="center"/>
          </w:tcPr>
          <w:p w14:paraId="1373292F">
            <w:pPr>
              <w:snapToGrid w:val="0"/>
              <w:spacing w:line="440" w:lineRule="exact"/>
              <w:jc w:val="center"/>
              <w:rPr>
                <w:rFonts w:hint="eastAsia"/>
                <w:color w:val="000000"/>
                <w:szCs w:val="21"/>
              </w:rPr>
            </w:pPr>
            <w:r>
              <w:rPr>
                <w:rFonts w:hint="eastAsia"/>
                <w:color w:val="000000"/>
                <w:szCs w:val="21"/>
              </w:rPr>
              <w:t>产品容量</w:t>
            </w:r>
          </w:p>
        </w:tc>
        <w:tc>
          <w:tcPr>
            <w:tcW w:w="1025" w:type="pct"/>
            <w:noWrap w:val="0"/>
            <w:vAlign w:val="center"/>
          </w:tcPr>
          <w:p w14:paraId="7F89F5C0">
            <w:pPr>
              <w:snapToGrid w:val="0"/>
              <w:spacing w:line="440" w:lineRule="exact"/>
              <w:jc w:val="center"/>
              <w:rPr>
                <w:rFonts w:hint="eastAsia"/>
                <w:color w:val="000000"/>
                <w:szCs w:val="21"/>
              </w:rPr>
            </w:pPr>
            <w:r>
              <w:rPr>
                <w:rFonts w:hint="eastAsia"/>
                <w:color w:val="000000"/>
                <w:szCs w:val="21"/>
              </w:rPr>
              <w:t>抽样数量</w:t>
            </w:r>
          </w:p>
        </w:tc>
        <w:tc>
          <w:tcPr>
            <w:tcW w:w="1069" w:type="pct"/>
            <w:noWrap w:val="0"/>
            <w:vAlign w:val="center"/>
          </w:tcPr>
          <w:p w14:paraId="032815F8">
            <w:pPr>
              <w:snapToGrid w:val="0"/>
              <w:spacing w:line="440" w:lineRule="exact"/>
              <w:jc w:val="center"/>
              <w:rPr>
                <w:rFonts w:hint="eastAsia"/>
                <w:color w:val="000000"/>
                <w:szCs w:val="21"/>
              </w:rPr>
            </w:pPr>
            <w:r>
              <w:rPr>
                <w:rFonts w:hint="eastAsia"/>
                <w:color w:val="000000"/>
                <w:szCs w:val="21"/>
              </w:rPr>
              <w:t>检验</w:t>
            </w:r>
            <w:r>
              <w:rPr>
                <w:szCs w:val="21"/>
              </w:rPr>
              <w:t>样品数</w:t>
            </w:r>
            <w:r>
              <w:rPr>
                <w:rFonts w:hint="eastAsia"/>
                <w:szCs w:val="21"/>
              </w:rPr>
              <w:t>量</w:t>
            </w:r>
          </w:p>
        </w:tc>
        <w:tc>
          <w:tcPr>
            <w:tcW w:w="913" w:type="pct"/>
            <w:noWrap w:val="0"/>
            <w:vAlign w:val="center"/>
          </w:tcPr>
          <w:p w14:paraId="45D0FDEE">
            <w:pPr>
              <w:snapToGrid w:val="0"/>
              <w:spacing w:line="440" w:lineRule="exact"/>
              <w:jc w:val="center"/>
              <w:rPr>
                <w:rFonts w:hint="eastAsia"/>
                <w:color w:val="000000"/>
                <w:szCs w:val="21"/>
              </w:rPr>
            </w:pPr>
            <w:r>
              <w:rPr>
                <w:szCs w:val="21"/>
              </w:rPr>
              <w:t>备用样品数量</w:t>
            </w:r>
          </w:p>
        </w:tc>
      </w:tr>
      <w:tr w14:paraId="24EA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0" w:type="pct"/>
            <w:noWrap w:val="0"/>
            <w:vAlign w:val="center"/>
          </w:tcPr>
          <w:p w14:paraId="5B878D6A">
            <w:pPr>
              <w:snapToGrid w:val="0"/>
              <w:spacing w:line="440" w:lineRule="exact"/>
              <w:jc w:val="center"/>
              <w:rPr>
                <w:rFonts w:hint="eastAsia"/>
                <w:color w:val="000000"/>
                <w:szCs w:val="21"/>
              </w:rPr>
            </w:pPr>
            <w:r>
              <w:rPr>
                <w:rFonts w:hint="eastAsia"/>
                <w:color w:val="000000"/>
                <w:szCs w:val="21"/>
              </w:rPr>
              <w:t>容积</w:t>
            </w:r>
            <w:r>
              <w:rPr>
                <w:color w:val="000000"/>
                <w:szCs w:val="21"/>
              </w:rPr>
              <w:t>＜</w:t>
            </w:r>
            <w:r>
              <w:rPr>
                <w:rFonts w:hint="eastAsia"/>
                <w:color w:val="000000"/>
                <w:szCs w:val="21"/>
              </w:rPr>
              <w:t>100</w:t>
            </w:r>
            <w:r>
              <w:rPr>
                <w:color w:val="000000"/>
                <w:szCs w:val="21"/>
              </w:rPr>
              <w:t>mL</w:t>
            </w:r>
          </w:p>
        </w:tc>
        <w:tc>
          <w:tcPr>
            <w:tcW w:w="1025" w:type="pct"/>
            <w:noWrap w:val="0"/>
            <w:vAlign w:val="center"/>
          </w:tcPr>
          <w:p w14:paraId="3461A00E">
            <w:pPr>
              <w:snapToGrid w:val="0"/>
              <w:spacing w:line="440" w:lineRule="exact"/>
              <w:jc w:val="center"/>
              <w:rPr>
                <w:color w:val="000000"/>
                <w:szCs w:val="21"/>
              </w:rPr>
            </w:pPr>
            <w:r>
              <w:rPr>
                <w:rFonts w:hint="eastAsia"/>
                <w:color w:val="000000"/>
                <w:szCs w:val="21"/>
              </w:rPr>
              <w:t>17</w:t>
            </w:r>
          </w:p>
        </w:tc>
        <w:tc>
          <w:tcPr>
            <w:tcW w:w="1069" w:type="pct"/>
            <w:noWrap w:val="0"/>
            <w:vAlign w:val="center"/>
          </w:tcPr>
          <w:p w14:paraId="444313CA">
            <w:pPr>
              <w:snapToGrid w:val="0"/>
              <w:spacing w:line="440" w:lineRule="exact"/>
              <w:jc w:val="center"/>
              <w:rPr>
                <w:color w:val="000000"/>
                <w:szCs w:val="21"/>
              </w:rPr>
            </w:pPr>
            <w:r>
              <w:rPr>
                <w:rFonts w:hint="eastAsia"/>
                <w:color w:val="000000"/>
                <w:szCs w:val="21"/>
              </w:rPr>
              <w:t>11</w:t>
            </w:r>
          </w:p>
        </w:tc>
        <w:tc>
          <w:tcPr>
            <w:tcW w:w="913" w:type="pct"/>
            <w:noWrap w:val="0"/>
            <w:vAlign w:val="center"/>
          </w:tcPr>
          <w:p w14:paraId="14EBF5F7">
            <w:pPr>
              <w:snapToGrid w:val="0"/>
              <w:spacing w:line="440" w:lineRule="exact"/>
              <w:jc w:val="center"/>
              <w:rPr>
                <w:rFonts w:hint="eastAsia"/>
                <w:color w:val="000000"/>
                <w:szCs w:val="21"/>
              </w:rPr>
            </w:pPr>
            <w:r>
              <w:rPr>
                <w:rFonts w:hint="eastAsia"/>
                <w:color w:val="000000"/>
                <w:szCs w:val="21"/>
              </w:rPr>
              <w:t>6</w:t>
            </w:r>
          </w:p>
        </w:tc>
      </w:tr>
      <w:tr w14:paraId="25DE9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90" w:type="pct"/>
            <w:noWrap w:val="0"/>
            <w:vAlign w:val="center"/>
          </w:tcPr>
          <w:p w14:paraId="2611323E">
            <w:pPr>
              <w:snapToGrid w:val="0"/>
              <w:spacing w:line="440" w:lineRule="exact"/>
              <w:jc w:val="center"/>
              <w:rPr>
                <w:rFonts w:hint="eastAsia"/>
                <w:color w:val="000000"/>
                <w:szCs w:val="21"/>
              </w:rPr>
            </w:pPr>
            <w:r>
              <w:rPr>
                <w:rFonts w:hint="eastAsia"/>
                <w:color w:val="000000"/>
                <w:szCs w:val="21"/>
              </w:rPr>
              <w:t xml:space="preserve">100ml≤容积＜200ml </w:t>
            </w:r>
          </w:p>
        </w:tc>
        <w:tc>
          <w:tcPr>
            <w:tcW w:w="1025" w:type="pct"/>
            <w:noWrap w:val="0"/>
            <w:vAlign w:val="center"/>
          </w:tcPr>
          <w:p w14:paraId="464DC1AA">
            <w:pPr>
              <w:snapToGrid w:val="0"/>
              <w:spacing w:line="440" w:lineRule="exact"/>
              <w:jc w:val="center"/>
              <w:rPr>
                <w:color w:val="000000"/>
                <w:szCs w:val="21"/>
              </w:rPr>
            </w:pPr>
            <w:r>
              <w:rPr>
                <w:rFonts w:hint="eastAsia"/>
                <w:color w:val="000000"/>
                <w:szCs w:val="21"/>
              </w:rPr>
              <w:t>12</w:t>
            </w:r>
          </w:p>
        </w:tc>
        <w:tc>
          <w:tcPr>
            <w:tcW w:w="1069" w:type="pct"/>
            <w:noWrap w:val="0"/>
            <w:vAlign w:val="center"/>
          </w:tcPr>
          <w:p w14:paraId="2AFCE074">
            <w:pPr>
              <w:snapToGrid w:val="0"/>
              <w:spacing w:line="440" w:lineRule="exact"/>
              <w:jc w:val="center"/>
              <w:rPr>
                <w:rFonts w:hint="eastAsia"/>
                <w:color w:val="000000"/>
                <w:szCs w:val="21"/>
              </w:rPr>
            </w:pPr>
            <w:r>
              <w:rPr>
                <w:rFonts w:hint="eastAsia"/>
                <w:color w:val="000000"/>
                <w:szCs w:val="21"/>
              </w:rPr>
              <w:t>8</w:t>
            </w:r>
          </w:p>
        </w:tc>
        <w:tc>
          <w:tcPr>
            <w:tcW w:w="913" w:type="pct"/>
            <w:noWrap w:val="0"/>
            <w:vAlign w:val="center"/>
          </w:tcPr>
          <w:p w14:paraId="55D5E5F0">
            <w:pPr>
              <w:snapToGrid w:val="0"/>
              <w:spacing w:line="440" w:lineRule="exact"/>
              <w:jc w:val="center"/>
              <w:rPr>
                <w:color w:val="000000"/>
                <w:szCs w:val="21"/>
              </w:rPr>
            </w:pPr>
            <w:r>
              <w:rPr>
                <w:rFonts w:hint="eastAsia"/>
                <w:color w:val="000000"/>
                <w:szCs w:val="21"/>
              </w:rPr>
              <w:t>4</w:t>
            </w:r>
          </w:p>
        </w:tc>
      </w:tr>
      <w:tr w14:paraId="3B3EE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0" w:type="pct"/>
            <w:noWrap w:val="0"/>
            <w:vAlign w:val="center"/>
          </w:tcPr>
          <w:p w14:paraId="6715AF78">
            <w:pPr>
              <w:snapToGrid w:val="0"/>
              <w:spacing w:line="440" w:lineRule="exact"/>
              <w:jc w:val="center"/>
              <w:rPr>
                <w:rFonts w:hint="eastAsia"/>
                <w:color w:val="000000"/>
                <w:szCs w:val="21"/>
              </w:rPr>
            </w:pPr>
            <w:r>
              <w:rPr>
                <w:rFonts w:hint="eastAsia"/>
                <w:color w:val="000000"/>
                <w:szCs w:val="21"/>
              </w:rPr>
              <w:t>容积≥200ml</w:t>
            </w:r>
          </w:p>
        </w:tc>
        <w:tc>
          <w:tcPr>
            <w:tcW w:w="1025" w:type="pct"/>
            <w:noWrap w:val="0"/>
            <w:vAlign w:val="center"/>
          </w:tcPr>
          <w:p w14:paraId="0F2A649D">
            <w:pPr>
              <w:snapToGrid w:val="0"/>
              <w:spacing w:line="440" w:lineRule="exact"/>
              <w:jc w:val="center"/>
              <w:rPr>
                <w:rFonts w:hint="eastAsia"/>
                <w:color w:val="000000"/>
                <w:szCs w:val="21"/>
              </w:rPr>
            </w:pPr>
            <w:r>
              <w:rPr>
                <w:rFonts w:hint="eastAsia"/>
                <w:color w:val="000000"/>
                <w:szCs w:val="21"/>
              </w:rPr>
              <w:t>8</w:t>
            </w:r>
          </w:p>
        </w:tc>
        <w:tc>
          <w:tcPr>
            <w:tcW w:w="1069" w:type="pct"/>
            <w:noWrap w:val="0"/>
            <w:vAlign w:val="center"/>
          </w:tcPr>
          <w:p w14:paraId="33EA8407">
            <w:pPr>
              <w:snapToGrid w:val="0"/>
              <w:spacing w:line="440" w:lineRule="exact"/>
              <w:jc w:val="center"/>
              <w:rPr>
                <w:rFonts w:hint="eastAsia"/>
                <w:color w:val="000000"/>
                <w:szCs w:val="21"/>
              </w:rPr>
            </w:pPr>
            <w:r>
              <w:rPr>
                <w:rFonts w:hint="eastAsia"/>
                <w:color w:val="000000"/>
                <w:szCs w:val="21"/>
              </w:rPr>
              <w:t>6</w:t>
            </w:r>
          </w:p>
        </w:tc>
        <w:tc>
          <w:tcPr>
            <w:tcW w:w="913" w:type="pct"/>
            <w:noWrap w:val="0"/>
            <w:vAlign w:val="center"/>
          </w:tcPr>
          <w:p w14:paraId="5F586D3C">
            <w:pPr>
              <w:snapToGrid w:val="0"/>
              <w:spacing w:line="440" w:lineRule="exact"/>
              <w:jc w:val="center"/>
              <w:rPr>
                <w:rFonts w:hint="eastAsia"/>
                <w:color w:val="000000"/>
                <w:szCs w:val="21"/>
              </w:rPr>
            </w:pPr>
            <w:r>
              <w:rPr>
                <w:rFonts w:hint="eastAsia"/>
                <w:color w:val="000000"/>
                <w:szCs w:val="21"/>
              </w:rPr>
              <w:t>2</w:t>
            </w:r>
          </w:p>
        </w:tc>
      </w:tr>
    </w:tbl>
    <w:p w14:paraId="43494D22">
      <w:pPr>
        <w:adjustRightInd w:val="0"/>
        <w:snapToGrid w:val="0"/>
        <w:spacing w:line="440" w:lineRule="exact"/>
        <w:outlineLvl w:val="1"/>
        <w:rPr>
          <w:rFonts w:eastAsia="黑体"/>
          <w:szCs w:val="21"/>
        </w:rPr>
      </w:pPr>
    </w:p>
    <w:p w14:paraId="2A39C265">
      <w:pPr>
        <w:adjustRightInd w:val="0"/>
        <w:snapToGrid w:val="0"/>
        <w:spacing w:line="440" w:lineRule="exact"/>
        <w:outlineLvl w:val="1"/>
        <w:rPr>
          <w:rFonts w:eastAsia="黑体"/>
          <w:szCs w:val="21"/>
        </w:rPr>
      </w:pPr>
      <w:r>
        <w:rPr>
          <w:rFonts w:hint="eastAsia" w:eastAsia="黑体"/>
          <w:szCs w:val="21"/>
        </w:rPr>
        <w:t>2 检验依据</w:t>
      </w:r>
    </w:p>
    <w:p w14:paraId="2C1C3A17">
      <w:pPr>
        <w:adjustRightInd w:val="0"/>
        <w:snapToGrid w:val="0"/>
        <w:spacing w:line="440" w:lineRule="exact"/>
        <w:jc w:val="center"/>
        <w:outlineLvl w:val="1"/>
        <w:rPr>
          <w:rFonts w:hint="eastAsia" w:eastAsia="黑体"/>
          <w:szCs w:val="21"/>
        </w:rPr>
      </w:pPr>
      <w:r>
        <w:rPr>
          <w:rFonts w:hint="eastAsia"/>
          <w:color w:val="000000"/>
          <w:szCs w:val="21"/>
        </w:rPr>
        <w:t>表</w:t>
      </w:r>
      <w:r>
        <w:rPr>
          <w:rFonts w:hint="eastAsia"/>
          <w:color w:val="000000"/>
          <w:szCs w:val="21"/>
          <w:lang w:val="en-US" w:eastAsia="zh-CN"/>
        </w:rPr>
        <w:t>2</w:t>
      </w:r>
      <w:r>
        <w:rPr>
          <w:rFonts w:hint="eastAsia"/>
          <w:color w:val="000000"/>
          <w:szCs w:val="21"/>
        </w:rPr>
        <w:t xml:space="preserve"> 婴幼儿用塑料奶瓶</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
        <w:gridCol w:w="846"/>
        <w:gridCol w:w="4083"/>
        <w:gridCol w:w="4239"/>
      </w:tblGrid>
      <w:tr w14:paraId="53323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blHeader/>
          <w:jc w:val="center"/>
        </w:trPr>
        <w:tc>
          <w:tcPr>
            <w:tcW w:w="464" w:type="pct"/>
            <w:gridSpan w:val="2"/>
            <w:vAlign w:val="center"/>
          </w:tcPr>
          <w:p w14:paraId="04E36A8C">
            <w:pPr>
              <w:adjustRightInd w:val="0"/>
              <w:snapToGrid w:val="0"/>
              <w:spacing w:line="440" w:lineRule="exact"/>
              <w:jc w:val="center"/>
              <w:rPr>
                <w:rFonts w:cs="仿宋"/>
                <w:szCs w:val="21"/>
              </w:rPr>
            </w:pPr>
            <w:r>
              <w:rPr>
                <w:rFonts w:hint="eastAsia" w:cs="仿宋"/>
                <w:szCs w:val="21"/>
              </w:rPr>
              <w:t>序号</w:t>
            </w:r>
          </w:p>
        </w:tc>
        <w:tc>
          <w:tcPr>
            <w:tcW w:w="2225" w:type="pct"/>
            <w:vAlign w:val="center"/>
          </w:tcPr>
          <w:p w14:paraId="237B25C6">
            <w:pPr>
              <w:adjustRightInd w:val="0"/>
              <w:snapToGrid w:val="0"/>
              <w:spacing w:line="440" w:lineRule="exact"/>
              <w:jc w:val="center"/>
              <w:rPr>
                <w:rFonts w:cs="仿宋"/>
                <w:szCs w:val="21"/>
              </w:rPr>
            </w:pPr>
            <w:r>
              <w:rPr>
                <w:rFonts w:hint="eastAsia" w:cs="仿宋"/>
                <w:szCs w:val="21"/>
              </w:rPr>
              <w:t>检验项目</w:t>
            </w:r>
          </w:p>
        </w:tc>
        <w:tc>
          <w:tcPr>
            <w:tcW w:w="2310" w:type="pct"/>
            <w:vAlign w:val="center"/>
          </w:tcPr>
          <w:p w14:paraId="4664D726">
            <w:pPr>
              <w:adjustRightInd w:val="0"/>
              <w:snapToGrid w:val="0"/>
              <w:spacing w:line="440" w:lineRule="exact"/>
              <w:jc w:val="center"/>
              <w:rPr>
                <w:rFonts w:cs="仿宋"/>
                <w:szCs w:val="21"/>
              </w:rPr>
            </w:pPr>
            <w:r>
              <w:rPr>
                <w:rFonts w:hint="eastAsia" w:cs="仿宋"/>
                <w:szCs w:val="21"/>
              </w:rPr>
              <w:t>检验方法</w:t>
            </w:r>
          </w:p>
        </w:tc>
      </w:tr>
      <w:tr w14:paraId="6ED3B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vAlign w:val="center"/>
          </w:tcPr>
          <w:p w14:paraId="4782BFE1">
            <w:pPr>
              <w:adjustRightInd w:val="0"/>
              <w:snapToGrid w:val="0"/>
              <w:jc w:val="center"/>
              <w:rPr>
                <w:rFonts w:cs="仿宋"/>
                <w:szCs w:val="21"/>
              </w:rPr>
            </w:pPr>
            <w:r>
              <w:rPr>
                <w:rFonts w:hint="eastAsia" w:cs="仿宋"/>
                <w:szCs w:val="21"/>
              </w:rPr>
              <w:t>1</w:t>
            </w:r>
          </w:p>
        </w:tc>
        <w:tc>
          <w:tcPr>
            <w:tcW w:w="2225" w:type="pct"/>
            <w:vAlign w:val="center"/>
          </w:tcPr>
          <w:p w14:paraId="7E0802CF">
            <w:pPr>
              <w:adjustRightInd w:val="0"/>
              <w:snapToGrid w:val="0"/>
              <w:jc w:val="center"/>
              <w:rPr>
                <w:rFonts w:cs="仿宋"/>
                <w:szCs w:val="21"/>
                <w:lang w:val="pt-BR"/>
              </w:rPr>
            </w:pPr>
            <w:r>
              <w:rPr>
                <w:rFonts w:hint="eastAsia" w:cs="仿宋"/>
                <w:szCs w:val="21"/>
              </w:rPr>
              <w:t>感官要求</w:t>
            </w:r>
          </w:p>
        </w:tc>
        <w:tc>
          <w:tcPr>
            <w:tcW w:w="2310" w:type="pct"/>
            <w:vAlign w:val="center"/>
          </w:tcPr>
          <w:p w14:paraId="6053704D">
            <w:pPr>
              <w:adjustRightInd w:val="0"/>
              <w:snapToGrid w:val="0"/>
              <w:jc w:val="center"/>
            </w:pPr>
            <w:r>
              <w:rPr>
                <w:rFonts w:cs="仿宋"/>
                <w:szCs w:val="21"/>
              </w:rPr>
              <w:t>GB 4806.7</w:t>
            </w:r>
            <w:r>
              <w:rPr>
                <w:rFonts w:hint="eastAsia" w:cs="仿宋"/>
                <w:szCs w:val="21"/>
                <w:lang w:eastAsia="zh-CN"/>
              </w:rPr>
              <w:t>-</w:t>
            </w:r>
            <w:r>
              <w:rPr>
                <w:rFonts w:cs="仿宋"/>
                <w:szCs w:val="21"/>
              </w:rPr>
              <w:t>2023</w:t>
            </w:r>
          </w:p>
        </w:tc>
      </w:tr>
      <w:tr w14:paraId="3CF06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vAlign w:val="center"/>
          </w:tcPr>
          <w:p w14:paraId="4B9FA7EA">
            <w:pPr>
              <w:adjustRightInd w:val="0"/>
              <w:snapToGrid w:val="0"/>
              <w:jc w:val="center"/>
              <w:rPr>
                <w:rFonts w:cs="仿宋"/>
                <w:szCs w:val="21"/>
              </w:rPr>
            </w:pPr>
            <w:r>
              <w:rPr>
                <w:rFonts w:hint="eastAsia" w:cs="仿宋"/>
                <w:szCs w:val="21"/>
              </w:rPr>
              <w:t>2</w:t>
            </w:r>
          </w:p>
        </w:tc>
        <w:tc>
          <w:tcPr>
            <w:tcW w:w="2225" w:type="pct"/>
            <w:vAlign w:val="center"/>
          </w:tcPr>
          <w:p w14:paraId="46F9AAD4">
            <w:pPr>
              <w:adjustRightInd w:val="0"/>
              <w:snapToGrid w:val="0"/>
              <w:jc w:val="center"/>
              <w:rPr>
                <w:rFonts w:cs="仿宋"/>
                <w:szCs w:val="21"/>
              </w:rPr>
            </w:pPr>
            <w:r>
              <w:rPr>
                <w:rFonts w:hint="eastAsia" w:cs="仿宋"/>
                <w:szCs w:val="21"/>
              </w:rPr>
              <w:t>总迁移量</w:t>
            </w:r>
          </w:p>
        </w:tc>
        <w:tc>
          <w:tcPr>
            <w:tcW w:w="2310" w:type="pct"/>
            <w:vAlign w:val="center"/>
          </w:tcPr>
          <w:p w14:paraId="7A573AA3">
            <w:pPr>
              <w:adjustRightInd w:val="0"/>
              <w:snapToGrid w:val="0"/>
              <w:jc w:val="center"/>
              <w:rPr>
                <w:rFonts w:cs="仿宋"/>
                <w:szCs w:val="21"/>
              </w:rPr>
            </w:pPr>
            <w:r>
              <w:rPr>
                <w:rFonts w:hint="eastAsia" w:cs="仿宋"/>
                <w:szCs w:val="21"/>
              </w:rPr>
              <w:t>GB 31604.8</w:t>
            </w:r>
            <w:r>
              <w:rPr>
                <w:rFonts w:hint="eastAsia" w:cs="仿宋"/>
                <w:szCs w:val="21"/>
                <w:lang w:eastAsia="zh-CN"/>
              </w:rPr>
              <w:t>-</w:t>
            </w:r>
            <w:r>
              <w:rPr>
                <w:rFonts w:hint="eastAsia" w:cs="仿宋"/>
                <w:szCs w:val="21"/>
              </w:rPr>
              <w:t>2021</w:t>
            </w:r>
          </w:p>
        </w:tc>
      </w:tr>
      <w:tr w14:paraId="68D08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vAlign w:val="center"/>
          </w:tcPr>
          <w:p w14:paraId="6D178289">
            <w:pPr>
              <w:adjustRightInd w:val="0"/>
              <w:snapToGrid w:val="0"/>
              <w:jc w:val="center"/>
              <w:rPr>
                <w:rFonts w:cs="仿宋"/>
                <w:szCs w:val="21"/>
              </w:rPr>
            </w:pPr>
            <w:r>
              <w:rPr>
                <w:rFonts w:hint="eastAsia" w:cs="仿宋"/>
                <w:szCs w:val="21"/>
              </w:rPr>
              <w:t>3</w:t>
            </w:r>
          </w:p>
        </w:tc>
        <w:tc>
          <w:tcPr>
            <w:tcW w:w="2225" w:type="pct"/>
            <w:vAlign w:val="center"/>
          </w:tcPr>
          <w:p w14:paraId="39F7BFA6">
            <w:pPr>
              <w:adjustRightInd w:val="0"/>
              <w:snapToGrid w:val="0"/>
              <w:jc w:val="center"/>
              <w:rPr>
                <w:rFonts w:cs="仿宋"/>
                <w:szCs w:val="21"/>
              </w:rPr>
            </w:pPr>
            <w:r>
              <w:rPr>
                <w:rFonts w:hint="eastAsia" w:cs="仿宋"/>
                <w:szCs w:val="21"/>
                <w:lang w:val="pt-BR"/>
              </w:rPr>
              <w:t>高锰酸钾消耗量</w:t>
            </w:r>
          </w:p>
        </w:tc>
        <w:tc>
          <w:tcPr>
            <w:tcW w:w="2310" w:type="pct"/>
            <w:vAlign w:val="center"/>
          </w:tcPr>
          <w:p w14:paraId="7ED0DBC4">
            <w:pPr>
              <w:adjustRightInd w:val="0"/>
              <w:snapToGrid w:val="0"/>
              <w:jc w:val="center"/>
              <w:rPr>
                <w:rFonts w:cs="仿宋"/>
                <w:szCs w:val="21"/>
              </w:rPr>
            </w:pPr>
            <w:r>
              <w:rPr>
                <w:rFonts w:hint="eastAsia" w:cs="仿宋"/>
                <w:szCs w:val="21"/>
              </w:rPr>
              <w:t>GB 31604.2</w:t>
            </w:r>
            <w:r>
              <w:rPr>
                <w:rFonts w:hint="eastAsia" w:cs="仿宋"/>
                <w:szCs w:val="21"/>
                <w:lang w:eastAsia="zh-CN"/>
              </w:rPr>
              <w:t>-</w:t>
            </w:r>
            <w:r>
              <w:rPr>
                <w:rFonts w:hint="eastAsia" w:cs="仿宋"/>
                <w:szCs w:val="21"/>
              </w:rPr>
              <w:t xml:space="preserve">2016 </w:t>
            </w:r>
          </w:p>
        </w:tc>
      </w:tr>
      <w:tr w14:paraId="4D358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vAlign w:val="center"/>
          </w:tcPr>
          <w:p w14:paraId="2298FE14">
            <w:pPr>
              <w:adjustRightInd w:val="0"/>
              <w:snapToGrid w:val="0"/>
              <w:jc w:val="center"/>
              <w:rPr>
                <w:rFonts w:cs="仿宋"/>
                <w:szCs w:val="21"/>
              </w:rPr>
            </w:pPr>
            <w:r>
              <w:rPr>
                <w:rFonts w:hint="eastAsia" w:cs="仿宋"/>
                <w:szCs w:val="21"/>
              </w:rPr>
              <w:t>4</w:t>
            </w:r>
          </w:p>
        </w:tc>
        <w:tc>
          <w:tcPr>
            <w:tcW w:w="2225" w:type="pct"/>
            <w:vAlign w:val="center"/>
          </w:tcPr>
          <w:p w14:paraId="62580F11">
            <w:pPr>
              <w:adjustRightInd w:val="0"/>
              <w:snapToGrid w:val="0"/>
              <w:jc w:val="center"/>
              <w:rPr>
                <w:rFonts w:cs="仿宋"/>
                <w:szCs w:val="21"/>
                <w:lang w:val="pt-BR"/>
              </w:rPr>
            </w:pPr>
            <w:r>
              <w:rPr>
                <w:rFonts w:hint="eastAsia" w:cs="仿宋"/>
                <w:szCs w:val="21"/>
                <w:lang w:val="pt-BR"/>
              </w:rPr>
              <w:t>重金属（以Pb计）</w:t>
            </w:r>
          </w:p>
        </w:tc>
        <w:tc>
          <w:tcPr>
            <w:tcW w:w="2310" w:type="pct"/>
            <w:vAlign w:val="center"/>
          </w:tcPr>
          <w:p w14:paraId="29446379">
            <w:pPr>
              <w:adjustRightInd w:val="0"/>
              <w:snapToGrid w:val="0"/>
              <w:jc w:val="center"/>
              <w:rPr>
                <w:rFonts w:cs="仿宋"/>
                <w:szCs w:val="21"/>
              </w:rPr>
            </w:pPr>
            <w:r>
              <w:rPr>
                <w:rFonts w:hint="eastAsia" w:cs="仿宋"/>
                <w:szCs w:val="21"/>
              </w:rPr>
              <w:t>GB 31604.9</w:t>
            </w:r>
            <w:r>
              <w:rPr>
                <w:rFonts w:hint="eastAsia" w:cs="仿宋"/>
                <w:szCs w:val="21"/>
                <w:lang w:eastAsia="zh-CN"/>
              </w:rPr>
              <w:t>-</w:t>
            </w:r>
            <w:r>
              <w:rPr>
                <w:rFonts w:hint="eastAsia" w:cs="仿宋"/>
                <w:szCs w:val="21"/>
              </w:rPr>
              <w:t xml:space="preserve">2016 </w:t>
            </w:r>
          </w:p>
        </w:tc>
      </w:tr>
      <w:tr w14:paraId="586A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pct"/>
          <w:trHeight w:val="23" w:hRule="atLeast"/>
          <w:jc w:val="center"/>
        </w:trPr>
        <w:tc>
          <w:tcPr>
            <w:tcW w:w="461" w:type="pct"/>
            <w:vAlign w:val="center"/>
          </w:tcPr>
          <w:p w14:paraId="19A6A706">
            <w:pPr>
              <w:adjustRightInd w:val="0"/>
              <w:snapToGrid w:val="0"/>
              <w:jc w:val="center"/>
              <w:rPr>
                <w:rFonts w:cs="仿宋"/>
                <w:szCs w:val="21"/>
              </w:rPr>
            </w:pPr>
            <w:r>
              <w:rPr>
                <w:rFonts w:hint="eastAsia" w:cs="仿宋"/>
                <w:szCs w:val="21"/>
              </w:rPr>
              <w:t>5</w:t>
            </w:r>
          </w:p>
        </w:tc>
        <w:tc>
          <w:tcPr>
            <w:tcW w:w="2225" w:type="pct"/>
            <w:vAlign w:val="center"/>
          </w:tcPr>
          <w:p w14:paraId="296260D5">
            <w:pPr>
              <w:adjustRightInd w:val="0"/>
              <w:snapToGrid w:val="0"/>
              <w:jc w:val="center"/>
              <w:rPr>
                <w:szCs w:val="21"/>
              </w:rPr>
            </w:pPr>
            <w:r>
              <w:rPr>
                <w:rFonts w:hint="eastAsia"/>
                <w:szCs w:val="21"/>
              </w:rPr>
              <w:t>芳香族伯胺迁移总量</w:t>
            </w:r>
          </w:p>
        </w:tc>
        <w:tc>
          <w:tcPr>
            <w:tcW w:w="2310" w:type="pct"/>
            <w:vAlign w:val="center"/>
          </w:tcPr>
          <w:p w14:paraId="597003AB">
            <w:pPr>
              <w:adjustRightInd w:val="0"/>
              <w:snapToGrid w:val="0"/>
              <w:jc w:val="center"/>
              <w:rPr>
                <w:szCs w:val="21"/>
              </w:rPr>
            </w:pPr>
            <w:r>
              <w:rPr>
                <w:rFonts w:hint="eastAsia"/>
                <w:szCs w:val="21"/>
              </w:rPr>
              <w:t>GB</w:t>
            </w:r>
            <w:r>
              <w:rPr>
                <w:szCs w:val="21"/>
              </w:rPr>
              <w:t xml:space="preserve"> 31604.52</w:t>
            </w:r>
            <w:r>
              <w:rPr>
                <w:rFonts w:hint="eastAsia" w:cs="仿宋"/>
                <w:szCs w:val="21"/>
                <w:lang w:eastAsia="zh-CN"/>
              </w:rPr>
              <w:t>-</w:t>
            </w:r>
            <w:r>
              <w:rPr>
                <w:szCs w:val="21"/>
              </w:rPr>
              <w:t>2021</w:t>
            </w:r>
          </w:p>
        </w:tc>
      </w:tr>
      <w:tr w14:paraId="2CF64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vAlign w:val="center"/>
          </w:tcPr>
          <w:p w14:paraId="0023295D">
            <w:pPr>
              <w:adjustRightInd w:val="0"/>
              <w:snapToGrid w:val="0"/>
              <w:jc w:val="center"/>
              <w:rPr>
                <w:rFonts w:cs="仿宋"/>
                <w:szCs w:val="21"/>
              </w:rPr>
            </w:pPr>
            <w:r>
              <w:rPr>
                <w:rFonts w:hint="eastAsia" w:cs="仿宋"/>
                <w:szCs w:val="21"/>
              </w:rPr>
              <w:t>6</w:t>
            </w:r>
          </w:p>
        </w:tc>
        <w:tc>
          <w:tcPr>
            <w:tcW w:w="2225" w:type="pct"/>
            <w:vAlign w:val="center"/>
          </w:tcPr>
          <w:p w14:paraId="5FF676BA">
            <w:pPr>
              <w:adjustRightInd w:val="0"/>
              <w:snapToGrid w:val="0"/>
              <w:jc w:val="center"/>
              <w:rPr>
                <w:rFonts w:cs="仿宋"/>
                <w:szCs w:val="21"/>
                <w:lang w:val="pt-BR"/>
              </w:rPr>
            </w:pPr>
            <w:r>
              <w:rPr>
                <w:rFonts w:hint="eastAsia" w:cs="仿宋"/>
                <w:szCs w:val="21"/>
                <w:lang w:val="pt-BR"/>
              </w:rPr>
              <w:t>脱色试验</w:t>
            </w:r>
          </w:p>
        </w:tc>
        <w:tc>
          <w:tcPr>
            <w:tcW w:w="2310" w:type="pct"/>
            <w:vAlign w:val="center"/>
          </w:tcPr>
          <w:p w14:paraId="5D9F4473">
            <w:pPr>
              <w:adjustRightInd w:val="0"/>
              <w:snapToGrid w:val="0"/>
              <w:jc w:val="center"/>
              <w:rPr>
                <w:rFonts w:cs="仿宋"/>
                <w:szCs w:val="21"/>
              </w:rPr>
            </w:pPr>
            <w:r>
              <w:rPr>
                <w:rFonts w:cs="仿宋"/>
                <w:szCs w:val="21"/>
              </w:rPr>
              <w:t>GB 31604.7</w:t>
            </w:r>
            <w:r>
              <w:rPr>
                <w:rFonts w:hint="eastAsia" w:cs="仿宋"/>
                <w:szCs w:val="21"/>
                <w:lang w:eastAsia="zh-CN"/>
              </w:rPr>
              <w:t>-</w:t>
            </w:r>
            <w:r>
              <w:rPr>
                <w:rFonts w:cs="仿宋"/>
                <w:szCs w:val="21"/>
              </w:rPr>
              <w:t>2023</w:t>
            </w:r>
          </w:p>
        </w:tc>
      </w:tr>
      <w:tr w14:paraId="31497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shd w:val="clear" w:color="auto" w:fill="auto"/>
            <w:vAlign w:val="center"/>
          </w:tcPr>
          <w:p w14:paraId="7155D7D6">
            <w:pPr>
              <w:adjustRightInd w:val="0"/>
              <w:snapToGrid w:val="0"/>
              <w:jc w:val="center"/>
              <w:rPr>
                <w:rFonts w:ascii="Times New Roman" w:hAnsi="Times New Roman" w:eastAsia="宋体" w:cs="仿宋"/>
                <w:kern w:val="2"/>
                <w:sz w:val="21"/>
                <w:szCs w:val="21"/>
                <w:lang w:val="en-US" w:eastAsia="zh-CN" w:bidi="ar-SA"/>
              </w:rPr>
            </w:pPr>
            <w:r>
              <w:rPr>
                <w:rFonts w:cs="仿宋"/>
                <w:szCs w:val="21"/>
              </w:rPr>
              <w:t>7</w:t>
            </w:r>
          </w:p>
        </w:tc>
        <w:tc>
          <w:tcPr>
            <w:tcW w:w="2225" w:type="pct"/>
            <w:shd w:val="clear" w:color="auto" w:fill="auto"/>
            <w:vAlign w:val="center"/>
          </w:tcPr>
          <w:p w14:paraId="2540373A">
            <w:pPr>
              <w:adjustRightInd w:val="0"/>
              <w:snapToGrid w:val="0"/>
              <w:jc w:val="center"/>
              <w:rPr>
                <w:rFonts w:hint="eastAsia" w:ascii="Times New Roman" w:hAnsi="Times New Roman" w:eastAsia="宋体" w:cs="仿宋"/>
                <w:kern w:val="2"/>
                <w:sz w:val="21"/>
                <w:szCs w:val="21"/>
                <w:lang w:val="en-US" w:eastAsia="zh-CN" w:bidi="ar-SA"/>
              </w:rPr>
            </w:pPr>
            <w:r>
              <w:rPr>
                <w:rFonts w:hint="eastAsia" w:cs="仿宋"/>
                <w:szCs w:val="21"/>
              </w:rPr>
              <w:t>特定迁移总量（以己内酰胺计）（限PA材质）</w:t>
            </w:r>
          </w:p>
        </w:tc>
        <w:tc>
          <w:tcPr>
            <w:tcW w:w="2310" w:type="pct"/>
            <w:shd w:val="clear" w:color="auto" w:fill="auto"/>
            <w:vAlign w:val="center"/>
          </w:tcPr>
          <w:p w14:paraId="2F16A166">
            <w:pPr>
              <w:adjustRightInd w:val="0"/>
              <w:snapToGrid w:val="0"/>
              <w:jc w:val="center"/>
              <w:rPr>
                <w:rFonts w:hint="eastAsia" w:ascii="Times New Roman" w:hAnsi="Times New Roman" w:eastAsia="宋体" w:cs="仿宋"/>
                <w:kern w:val="2"/>
                <w:sz w:val="21"/>
                <w:szCs w:val="21"/>
                <w:lang w:val="en-US" w:eastAsia="zh-CN" w:bidi="ar-SA"/>
              </w:rPr>
            </w:pPr>
            <w:r>
              <w:rPr>
                <w:rFonts w:hint="eastAsia" w:cs="仿宋"/>
                <w:szCs w:val="21"/>
              </w:rPr>
              <w:t>GB 31604.19</w:t>
            </w:r>
            <w:r>
              <w:rPr>
                <w:rFonts w:hint="eastAsia"/>
                <w:lang w:eastAsia="zh-CN"/>
              </w:rPr>
              <w:t>-</w:t>
            </w:r>
            <w:r>
              <w:rPr>
                <w:rFonts w:hint="eastAsia" w:cs="仿宋"/>
                <w:szCs w:val="21"/>
              </w:rPr>
              <w:t xml:space="preserve">2016 </w:t>
            </w:r>
          </w:p>
        </w:tc>
      </w:tr>
      <w:tr w14:paraId="45AC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shd w:val="clear" w:color="auto" w:fill="auto"/>
            <w:vAlign w:val="center"/>
          </w:tcPr>
          <w:p w14:paraId="595FB486">
            <w:pPr>
              <w:adjustRightInd w:val="0"/>
              <w:snapToGrid w:val="0"/>
              <w:jc w:val="center"/>
              <w:rPr>
                <w:rFonts w:ascii="Times New Roman" w:hAnsi="Times New Roman" w:eastAsia="宋体" w:cs="仿宋"/>
                <w:kern w:val="2"/>
                <w:sz w:val="21"/>
                <w:szCs w:val="21"/>
                <w:lang w:val="en-US" w:eastAsia="zh-CN" w:bidi="ar-SA"/>
              </w:rPr>
            </w:pPr>
            <w:r>
              <w:rPr>
                <w:rFonts w:cs="仿宋"/>
                <w:szCs w:val="21"/>
              </w:rPr>
              <w:t>8</w:t>
            </w:r>
          </w:p>
        </w:tc>
        <w:tc>
          <w:tcPr>
            <w:tcW w:w="2225" w:type="pct"/>
            <w:shd w:val="clear" w:color="auto" w:fill="auto"/>
            <w:vAlign w:val="center"/>
          </w:tcPr>
          <w:p w14:paraId="78C63044">
            <w:pPr>
              <w:adjustRightInd w:val="0"/>
              <w:snapToGrid w:val="0"/>
              <w:jc w:val="center"/>
              <w:rPr>
                <w:rFonts w:hint="eastAsia" w:ascii="Times New Roman" w:hAnsi="Times New Roman" w:eastAsia="宋体" w:cs="仿宋"/>
                <w:kern w:val="2"/>
                <w:sz w:val="21"/>
                <w:szCs w:val="21"/>
                <w:lang w:val="en-US" w:eastAsia="zh-CN" w:bidi="ar-SA"/>
              </w:rPr>
            </w:pPr>
            <w:r>
              <w:rPr>
                <w:rFonts w:hint="eastAsia"/>
                <w:szCs w:val="21"/>
              </w:rPr>
              <w:t>特定迁移总量（以对苯二甲酸计）（限PET材质）</w:t>
            </w:r>
          </w:p>
        </w:tc>
        <w:tc>
          <w:tcPr>
            <w:tcW w:w="2310" w:type="pct"/>
            <w:shd w:val="clear" w:color="auto" w:fill="auto"/>
            <w:vAlign w:val="center"/>
          </w:tcPr>
          <w:p w14:paraId="25D151E7">
            <w:pPr>
              <w:adjustRightInd w:val="0"/>
              <w:snapToGrid w:val="0"/>
              <w:jc w:val="center"/>
              <w:rPr>
                <w:rFonts w:hint="eastAsia" w:ascii="Times New Roman" w:hAnsi="Times New Roman" w:eastAsia="宋体" w:cs="宋体"/>
                <w:kern w:val="2"/>
                <w:sz w:val="21"/>
                <w:szCs w:val="21"/>
                <w:lang w:val="en-US" w:eastAsia="zh-CN" w:bidi="ar-SA"/>
              </w:rPr>
            </w:pPr>
            <w:r>
              <w:rPr>
                <w:rFonts w:hint="eastAsia" w:cs="宋体"/>
                <w:szCs w:val="21"/>
              </w:rPr>
              <w:t>GB 31604.21</w:t>
            </w:r>
            <w:r>
              <w:rPr>
                <w:rFonts w:hint="eastAsia"/>
                <w:lang w:eastAsia="zh-CN"/>
              </w:rPr>
              <w:t>-</w:t>
            </w:r>
            <w:r>
              <w:rPr>
                <w:rFonts w:hint="eastAsia" w:eastAsia="仿宋" w:cs="仿宋"/>
                <w:szCs w:val="21"/>
              </w:rPr>
              <w:t>2016</w:t>
            </w:r>
          </w:p>
        </w:tc>
      </w:tr>
      <w:tr w14:paraId="6FF55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shd w:val="clear" w:color="auto" w:fill="auto"/>
            <w:vAlign w:val="center"/>
          </w:tcPr>
          <w:p w14:paraId="645C6564">
            <w:pPr>
              <w:adjustRightInd w:val="0"/>
              <w:snapToGrid w:val="0"/>
              <w:jc w:val="center"/>
              <w:rPr>
                <w:rFonts w:ascii="Times New Roman" w:hAnsi="Times New Roman" w:eastAsia="宋体" w:cs="仿宋"/>
                <w:kern w:val="2"/>
                <w:sz w:val="21"/>
                <w:szCs w:val="21"/>
                <w:lang w:val="en-US" w:eastAsia="zh-CN" w:bidi="ar-SA"/>
              </w:rPr>
            </w:pPr>
            <w:r>
              <w:rPr>
                <w:rFonts w:cs="仿宋"/>
                <w:szCs w:val="21"/>
              </w:rPr>
              <w:t>9</w:t>
            </w:r>
          </w:p>
        </w:tc>
        <w:tc>
          <w:tcPr>
            <w:tcW w:w="2225" w:type="pct"/>
            <w:shd w:val="clear" w:color="auto" w:fill="auto"/>
            <w:vAlign w:val="center"/>
          </w:tcPr>
          <w:p w14:paraId="0D18DECC">
            <w:pPr>
              <w:adjustRightInd w:val="0"/>
              <w:snapToGrid w:val="0"/>
              <w:jc w:val="center"/>
              <w:rPr>
                <w:rFonts w:hint="eastAsia" w:ascii="Times New Roman" w:hAnsi="Times New Roman" w:eastAsia="宋体" w:cs="仿宋"/>
                <w:kern w:val="2"/>
                <w:sz w:val="21"/>
                <w:szCs w:val="21"/>
                <w:lang w:val="en-US" w:eastAsia="zh-CN" w:bidi="ar-SA"/>
              </w:rPr>
            </w:pPr>
            <w:r>
              <w:rPr>
                <w:rFonts w:hint="eastAsia"/>
                <w:szCs w:val="21"/>
              </w:rPr>
              <w:t>特定迁移总量（以1,2</w:t>
            </w:r>
            <w:r>
              <w:rPr>
                <w:rFonts w:hint="eastAsia"/>
                <w:lang w:eastAsia="zh-CN"/>
              </w:rPr>
              <w:t>-</w:t>
            </w:r>
            <w:r>
              <w:rPr>
                <w:rFonts w:hint="eastAsia"/>
                <w:szCs w:val="21"/>
              </w:rPr>
              <w:t>乙二醇计）（限PET材质）</w:t>
            </w:r>
          </w:p>
        </w:tc>
        <w:tc>
          <w:tcPr>
            <w:tcW w:w="2310" w:type="pct"/>
            <w:shd w:val="clear" w:color="auto" w:fill="auto"/>
            <w:vAlign w:val="center"/>
          </w:tcPr>
          <w:p w14:paraId="2CE11E68">
            <w:pPr>
              <w:adjustRightInd w:val="0"/>
              <w:snapToGrid w:val="0"/>
              <w:jc w:val="center"/>
              <w:rPr>
                <w:rFonts w:hint="eastAsia" w:ascii="Times New Roman" w:hAnsi="Times New Roman" w:eastAsia="宋体" w:cs="宋体"/>
                <w:kern w:val="2"/>
                <w:sz w:val="21"/>
                <w:szCs w:val="21"/>
                <w:lang w:val="en-US" w:eastAsia="zh-CN" w:bidi="ar-SA"/>
              </w:rPr>
            </w:pPr>
            <w:r>
              <w:rPr>
                <w:rFonts w:hint="eastAsia" w:cs="宋体"/>
                <w:szCs w:val="21"/>
              </w:rPr>
              <w:t>GB 31604.44</w:t>
            </w:r>
            <w:r>
              <w:rPr>
                <w:rFonts w:hint="eastAsia"/>
                <w:lang w:eastAsia="zh-CN"/>
              </w:rPr>
              <w:t>-</w:t>
            </w:r>
            <w:r>
              <w:rPr>
                <w:rFonts w:hint="eastAsia" w:eastAsia="仿宋" w:cs="仿宋"/>
                <w:szCs w:val="21"/>
              </w:rPr>
              <w:t>2016</w:t>
            </w:r>
          </w:p>
        </w:tc>
      </w:tr>
      <w:tr w14:paraId="7E450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vAlign w:val="center"/>
          </w:tcPr>
          <w:p w14:paraId="0015A97F">
            <w:pPr>
              <w:adjustRightInd w:val="0"/>
              <w:snapToGrid w:val="0"/>
              <w:jc w:val="center"/>
              <w:rPr>
                <w:rFonts w:hint="default" w:eastAsia="宋体" w:cs="仿宋"/>
                <w:szCs w:val="21"/>
                <w:lang w:val="en-US" w:eastAsia="zh-CN"/>
              </w:rPr>
            </w:pPr>
            <w:r>
              <w:rPr>
                <w:rFonts w:hint="eastAsia" w:cs="仿宋"/>
                <w:szCs w:val="21"/>
                <w:lang w:val="en-US" w:eastAsia="zh-CN"/>
              </w:rPr>
              <w:t>10</w:t>
            </w:r>
          </w:p>
        </w:tc>
        <w:tc>
          <w:tcPr>
            <w:tcW w:w="2225" w:type="pct"/>
            <w:shd w:val="clear" w:color="auto" w:fill="auto"/>
            <w:vAlign w:val="center"/>
          </w:tcPr>
          <w:p w14:paraId="5A1425EE">
            <w:pPr>
              <w:adjustRightInd w:val="0"/>
              <w:snapToGrid w:val="0"/>
              <w:jc w:val="center"/>
              <w:rPr>
                <w:rFonts w:ascii="Times New Roman" w:hAnsi="Times New Roman" w:eastAsia="宋体" w:cs="Times New Roman"/>
                <w:kern w:val="2"/>
                <w:sz w:val="21"/>
                <w:szCs w:val="21"/>
                <w:lang w:val="en-US" w:eastAsia="zh-CN" w:bidi="ar-SA"/>
              </w:rPr>
            </w:pPr>
            <w:r>
              <w:rPr>
                <w:rFonts w:hint="eastAsia"/>
                <w:szCs w:val="21"/>
              </w:rPr>
              <w:t>容量偏差</w:t>
            </w:r>
          </w:p>
        </w:tc>
        <w:tc>
          <w:tcPr>
            <w:tcW w:w="2310" w:type="pct"/>
            <w:shd w:val="clear" w:color="auto" w:fill="auto"/>
            <w:vAlign w:val="center"/>
          </w:tcPr>
          <w:p w14:paraId="7BA8ED86">
            <w:pPr>
              <w:adjustRightInd w:val="0"/>
              <w:snapToGrid w:val="0"/>
              <w:jc w:val="center"/>
              <w:rPr>
                <w:rFonts w:ascii="Times New Roman" w:hAnsi="Times New Roman" w:eastAsia="宋体" w:cs="Times New Roman"/>
                <w:kern w:val="2"/>
                <w:sz w:val="21"/>
                <w:szCs w:val="22"/>
                <w:lang w:val="en-US" w:eastAsia="zh-CN" w:bidi="ar-SA"/>
              </w:rPr>
            </w:pPr>
            <w:r>
              <w:rPr>
                <w:rFonts w:hint="eastAsia" w:cs="宋体"/>
                <w:szCs w:val="21"/>
              </w:rPr>
              <w:t>GB 38995</w:t>
            </w:r>
            <w:r>
              <w:rPr>
                <w:rFonts w:hint="eastAsia" w:cs="宋体"/>
                <w:szCs w:val="21"/>
                <w:lang w:eastAsia="zh-CN"/>
              </w:rPr>
              <w:t>-</w:t>
            </w:r>
            <w:r>
              <w:rPr>
                <w:rFonts w:hint="eastAsia" w:cs="宋体"/>
                <w:szCs w:val="21"/>
              </w:rPr>
              <w:t xml:space="preserve">2020 </w:t>
            </w:r>
          </w:p>
        </w:tc>
      </w:tr>
      <w:tr w14:paraId="48E7B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vAlign w:val="center"/>
          </w:tcPr>
          <w:p w14:paraId="38F52FB4">
            <w:pPr>
              <w:adjustRightInd w:val="0"/>
              <w:snapToGrid w:val="0"/>
              <w:jc w:val="center"/>
              <w:rPr>
                <w:rFonts w:hint="default" w:eastAsia="宋体" w:cs="仿宋"/>
                <w:szCs w:val="21"/>
                <w:lang w:val="en-US" w:eastAsia="zh-CN"/>
              </w:rPr>
            </w:pPr>
            <w:r>
              <w:rPr>
                <w:rFonts w:hint="eastAsia" w:cs="仿宋"/>
                <w:szCs w:val="21"/>
                <w:lang w:val="en-US" w:eastAsia="zh-CN"/>
              </w:rPr>
              <w:t>11</w:t>
            </w:r>
          </w:p>
        </w:tc>
        <w:tc>
          <w:tcPr>
            <w:tcW w:w="2225" w:type="pct"/>
            <w:shd w:val="clear" w:color="auto" w:fill="auto"/>
            <w:vAlign w:val="center"/>
          </w:tcPr>
          <w:p w14:paraId="3133D3F3">
            <w:pPr>
              <w:adjustRightInd w:val="0"/>
              <w:snapToGrid w:val="0"/>
              <w:jc w:val="center"/>
              <w:rPr>
                <w:rFonts w:ascii="Times New Roman" w:hAnsi="Times New Roman" w:eastAsia="宋体" w:cs="Times New Roman"/>
                <w:kern w:val="2"/>
                <w:sz w:val="21"/>
                <w:szCs w:val="21"/>
                <w:lang w:val="en-US" w:eastAsia="zh-CN" w:bidi="ar-SA"/>
              </w:rPr>
            </w:pPr>
            <w:r>
              <w:rPr>
                <w:rFonts w:hint="eastAsia"/>
                <w:szCs w:val="21"/>
              </w:rPr>
              <w:t>耐沸水性能</w:t>
            </w:r>
          </w:p>
        </w:tc>
        <w:tc>
          <w:tcPr>
            <w:tcW w:w="2310" w:type="pct"/>
            <w:shd w:val="clear" w:color="auto" w:fill="auto"/>
            <w:vAlign w:val="center"/>
          </w:tcPr>
          <w:p w14:paraId="1A75F2E1">
            <w:pPr>
              <w:adjustRightInd w:val="0"/>
              <w:snapToGrid w:val="0"/>
              <w:jc w:val="center"/>
              <w:rPr>
                <w:rFonts w:ascii="Times New Roman" w:hAnsi="Times New Roman" w:eastAsia="宋体" w:cs="Times New Roman"/>
                <w:kern w:val="2"/>
                <w:sz w:val="21"/>
                <w:szCs w:val="22"/>
                <w:lang w:val="en-US" w:eastAsia="zh-CN" w:bidi="ar-SA"/>
              </w:rPr>
            </w:pPr>
            <w:r>
              <w:rPr>
                <w:rFonts w:hint="eastAsia" w:cs="宋体"/>
                <w:szCs w:val="21"/>
              </w:rPr>
              <w:t>GB 38995</w:t>
            </w:r>
            <w:r>
              <w:rPr>
                <w:rFonts w:hint="eastAsia" w:cs="宋体"/>
                <w:szCs w:val="21"/>
                <w:lang w:eastAsia="zh-CN"/>
              </w:rPr>
              <w:t>-</w:t>
            </w:r>
            <w:r>
              <w:rPr>
                <w:rFonts w:hint="eastAsia" w:cs="宋体"/>
                <w:szCs w:val="21"/>
              </w:rPr>
              <w:t>2020</w:t>
            </w:r>
          </w:p>
        </w:tc>
      </w:tr>
      <w:tr w14:paraId="43237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pct"/>
            <w:gridSpan w:val="2"/>
            <w:vAlign w:val="center"/>
          </w:tcPr>
          <w:p w14:paraId="7D1DA873">
            <w:pPr>
              <w:adjustRightInd w:val="0"/>
              <w:snapToGrid w:val="0"/>
              <w:jc w:val="center"/>
              <w:rPr>
                <w:rFonts w:hint="default" w:eastAsia="宋体" w:cs="仿宋"/>
                <w:szCs w:val="21"/>
                <w:lang w:val="en-US" w:eastAsia="zh-CN"/>
              </w:rPr>
            </w:pPr>
            <w:r>
              <w:rPr>
                <w:rFonts w:hint="eastAsia" w:cs="仿宋"/>
                <w:szCs w:val="21"/>
                <w:lang w:val="en-US" w:eastAsia="zh-CN"/>
              </w:rPr>
              <w:t>12</w:t>
            </w:r>
          </w:p>
        </w:tc>
        <w:tc>
          <w:tcPr>
            <w:tcW w:w="2225" w:type="pct"/>
            <w:shd w:val="clear" w:color="auto" w:fill="auto"/>
            <w:vAlign w:val="center"/>
          </w:tcPr>
          <w:p w14:paraId="75D44E51">
            <w:pPr>
              <w:adjustRightInd w:val="0"/>
              <w:snapToGrid w:val="0"/>
              <w:jc w:val="center"/>
              <w:rPr>
                <w:rFonts w:ascii="Times New Roman" w:hAnsi="Times New Roman" w:eastAsia="宋体" w:cs="Times New Roman"/>
                <w:kern w:val="2"/>
                <w:sz w:val="21"/>
                <w:szCs w:val="21"/>
                <w:lang w:val="en-US" w:eastAsia="zh-CN" w:bidi="ar-SA"/>
              </w:rPr>
            </w:pPr>
            <w:r>
              <w:rPr>
                <w:rFonts w:hint="eastAsia"/>
                <w:szCs w:val="21"/>
              </w:rPr>
              <w:t>耐热冲击性能</w:t>
            </w:r>
          </w:p>
        </w:tc>
        <w:tc>
          <w:tcPr>
            <w:tcW w:w="2310" w:type="pct"/>
            <w:shd w:val="clear" w:color="auto" w:fill="auto"/>
            <w:vAlign w:val="center"/>
          </w:tcPr>
          <w:p w14:paraId="20EB30CF">
            <w:pPr>
              <w:adjustRightInd w:val="0"/>
              <w:snapToGrid w:val="0"/>
              <w:jc w:val="center"/>
              <w:rPr>
                <w:rFonts w:ascii="Times New Roman" w:hAnsi="Times New Roman" w:eastAsia="宋体" w:cs="Times New Roman"/>
                <w:kern w:val="2"/>
                <w:sz w:val="21"/>
                <w:szCs w:val="22"/>
                <w:lang w:val="en-US" w:eastAsia="zh-CN" w:bidi="ar-SA"/>
              </w:rPr>
            </w:pPr>
            <w:r>
              <w:rPr>
                <w:rFonts w:hint="eastAsia" w:cs="宋体"/>
                <w:szCs w:val="21"/>
              </w:rPr>
              <w:t>GB 38995</w:t>
            </w:r>
            <w:r>
              <w:rPr>
                <w:rFonts w:hint="eastAsia" w:cs="宋体"/>
                <w:szCs w:val="21"/>
                <w:lang w:eastAsia="zh-CN"/>
              </w:rPr>
              <w:t>-</w:t>
            </w:r>
            <w:r>
              <w:rPr>
                <w:rFonts w:hint="eastAsia" w:cs="宋体"/>
                <w:szCs w:val="21"/>
              </w:rPr>
              <w:t>2020</w:t>
            </w:r>
          </w:p>
        </w:tc>
      </w:tr>
      <w:tr w14:paraId="50F09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pct"/>
          <w:trHeight w:val="23" w:hRule="atLeast"/>
          <w:jc w:val="center"/>
        </w:trPr>
        <w:tc>
          <w:tcPr>
            <w:tcW w:w="4996" w:type="pct"/>
            <w:gridSpan w:val="3"/>
          </w:tcPr>
          <w:p w14:paraId="77E2520D">
            <w:pPr>
              <w:adjustRightInd w:val="0"/>
              <w:snapToGrid w:val="0"/>
              <w:jc w:val="left"/>
              <w:rPr>
                <w:color w:val="000000"/>
              </w:rPr>
            </w:pPr>
            <w:r>
              <w:rPr>
                <w:color w:val="000000"/>
              </w:rPr>
              <w:t>注：</w:t>
            </w:r>
            <w:r>
              <w:rPr>
                <w:color w:val="000000"/>
                <w:szCs w:val="21"/>
              </w:rPr>
              <w:t>1</w:t>
            </w:r>
            <w:r>
              <w:rPr>
                <w:rFonts w:hint="eastAsia"/>
                <w:color w:val="000000"/>
                <w:szCs w:val="21"/>
              </w:rPr>
              <w:t>.</w:t>
            </w:r>
            <w:r>
              <w:rPr>
                <w:rFonts w:hint="eastAsia"/>
                <w:color w:val="000000"/>
              </w:rPr>
              <w:t>芳香族伯胺迁移总量</w:t>
            </w:r>
            <w:r>
              <w:rPr>
                <w:color w:val="000000"/>
              </w:rPr>
              <w:t>适用于执行标准为</w:t>
            </w:r>
            <w:r>
              <w:rPr>
                <w:rFonts w:hint="eastAsia"/>
                <w:color w:val="000000"/>
              </w:rPr>
              <w:t>G</w:t>
            </w:r>
            <w:r>
              <w:rPr>
                <w:color w:val="000000"/>
              </w:rPr>
              <w:t>B 4806.7</w:t>
            </w:r>
            <w:r>
              <w:rPr>
                <w:rFonts w:hint="eastAsia"/>
                <w:lang w:eastAsia="zh-CN"/>
              </w:rPr>
              <w:t>-</w:t>
            </w:r>
            <w:r>
              <w:rPr>
                <w:color w:val="000000"/>
              </w:rPr>
              <w:t>2023</w:t>
            </w:r>
            <w:r>
              <w:rPr>
                <w:rFonts w:hint="eastAsia"/>
                <w:color w:val="000000"/>
              </w:rPr>
              <w:t>，且含有芳香族异氰酸酯和偶氮类着色剂等可能产生芳香族伯胺类物质的产品。</w:t>
            </w:r>
          </w:p>
          <w:p w14:paraId="72B26539">
            <w:pPr>
              <w:adjustRightInd w:val="0"/>
              <w:snapToGrid w:val="0"/>
              <w:ind w:firstLine="420" w:firstLineChars="200"/>
              <w:jc w:val="left"/>
              <w:rPr>
                <w:color w:val="000000"/>
              </w:rPr>
            </w:pPr>
            <w:r>
              <w:rPr>
                <w:color w:val="000000"/>
              </w:rPr>
              <w:t>2.</w:t>
            </w:r>
            <w:r>
              <w:rPr>
                <w:rFonts w:hint="eastAsia"/>
              </w:rPr>
              <w:t xml:space="preserve"> </w:t>
            </w:r>
            <w:r>
              <w:rPr>
                <w:rFonts w:hint="eastAsia"/>
                <w:color w:val="000000"/>
              </w:rPr>
              <w:t>脱色试验仅适用于添加了着色剂的产品。</w:t>
            </w:r>
          </w:p>
        </w:tc>
      </w:tr>
    </w:tbl>
    <w:p w14:paraId="59F0751D">
      <w:pPr>
        <w:adjustRightInd w:val="0"/>
        <w:snapToGrid w:val="0"/>
        <w:spacing w:line="440" w:lineRule="exact"/>
        <w:ind w:firstLine="420" w:firstLineChars="200"/>
        <w:rPr>
          <w:color w:val="000000"/>
          <w:szCs w:val="21"/>
        </w:rPr>
      </w:pPr>
      <w:bookmarkStart w:id="1" w:name="_Hlk40347690"/>
      <w:r>
        <w:rPr>
          <w:rFonts w:hint="eastAsia"/>
          <w:color w:val="000000"/>
          <w:szCs w:val="21"/>
        </w:rPr>
        <w:t>执行企业标准、团体标准、地方标准的产品，检验项目参照上述内容执行。</w:t>
      </w:r>
      <w:bookmarkEnd w:id="1"/>
    </w:p>
    <w:p w14:paraId="78C9C162">
      <w:pPr>
        <w:snapToGrid w:val="0"/>
        <w:spacing w:line="440" w:lineRule="exact"/>
        <w:ind w:firstLine="359" w:firstLineChars="171"/>
        <w:rPr>
          <w:rFonts w:eastAsia="黑体"/>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6F0CC35C">
      <w:pPr>
        <w:adjustRightInd w:val="0"/>
        <w:snapToGrid w:val="0"/>
        <w:spacing w:line="440" w:lineRule="exact"/>
        <w:outlineLvl w:val="1"/>
        <w:rPr>
          <w:rFonts w:eastAsia="黑体"/>
          <w:szCs w:val="21"/>
        </w:rPr>
      </w:pPr>
    </w:p>
    <w:p w14:paraId="57AF9CE0">
      <w:pPr>
        <w:adjustRightInd w:val="0"/>
        <w:snapToGrid w:val="0"/>
        <w:spacing w:line="440" w:lineRule="exact"/>
        <w:outlineLvl w:val="1"/>
        <w:rPr>
          <w:rFonts w:eastAsia="黑体"/>
          <w:szCs w:val="21"/>
        </w:rPr>
      </w:pPr>
      <w:r>
        <w:rPr>
          <w:rFonts w:hint="eastAsia" w:eastAsia="黑体"/>
          <w:szCs w:val="21"/>
        </w:rPr>
        <w:t>3 依据规则</w:t>
      </w:r>
    </w:p>
    <w:p w14:paraId="07223258">
      <w:pPr>
        <w:adjustRightInd w:val="0"/>
        <w:snapToGrid w:val="0"/>
        <w:spacing w:line="440" w:lineRule="exact"/>
        <w:outlineLvl w:val="1"/>
        <w:rPr>
          <w:szCs w:val="21"/>
        </w:rPr>
      </w:pPr>
      <w:r>
        <w:rPr>
          <w:rFonts w:hint="eastAsia"/>
          <w:szCs w:val="21"/>
        </w:rPr>
        <w:t>3.1依据标准</w:t>
      </w:r>
    </w:p>
    <w:p w14:paraId="7C391113">
      <w:pPr>
        <w:adjustRightInd w:val="0"/>
        <w:snapToGrid w:val="0"/>
        <w:spacing w:line="440" w:lineRule="exact"/>
        <w:ind w:firstLine="420" w:firstLineChars="200"/>
        <w:rPr>
          <w:szCs w:val="21"/>
        </w:rPr>
      </w:pPr>
      <w:r>
        <w:rPr>
          <w:szCs w:val="21"/>
        </w:rPr>
        <w:t>GB 4806.7</w:t>
      </w:r>
      <w:r>
        <w:rPr>
          <w:rFonts w:hint="eastAsia"/>
          <w:szCs w:val="21"/>
          <w:lang w:eastAsia="zh-CN"/>
        </w:rPr>
        <w:t>-</w:t>
      </w:r>
      <w:r>
        <w:rPr>
          <w:szCs w:val="21"/>
        </w:rPr>
        <w:t xml:space="preserve">2023 </w:t>
      </w:r>
      <w:r>
        <w:rPr>
          <w:rFonts w:hint="eastAsia"/>
          <w:szCs w:val="21"/>
        </w:rPr>
        <w:t>食品安全国家标准 食品接触用塑料材料及制品</w:t>
      </w:r>
    </w:p>
    <w:p w14:paraId="3450EF54">
      <w:pPr>
        <w:adjustRightInd w:val="0"/>
        <w:snapToGrid w:val="0"/>
        <w:spacing w:line="440" w:lineRule="exact"/>
        <w:ind w:firstLine="420" w:firstLineChars="200"/>
        <w:rPr>
          <w:szCs w:val="21"/>
        </w:rPr>
      </w:pPr>
      <w:r>
        <w:rPr>
          <w:rFonts w:hint="eastAsia" w:cs="宋体"/>
          <w:szCs w:val="21"/>
        </w:rPr>
        <w:t>GB 38995</w:t>
      </w:r>
      <w:r>
        <w:rPr>
          <w:rFonts w:hint="eastAsia" w:cs="宋体"/>
          <w:szCs w:val="21"/>
          <w:lang w:eastAsia="zh-CN"/>
        </w:rPr>
        <w:t>-</w:t>
      </w:r>
      <w:r>
        <w:rPr>
          <w:rFonts w:hint="eastAsia" w:cs="宋体"/>
          <w:szCs w:val="21"/>
        </w:rPr>
        <w:t>2020 婴幼儿用奶瓶和奶嘴</w:t>
      </w:r>
    </w:p>
    <w:p w14:paraId="1FFA32DF">
      <w:pPr>
        <w:adjustRightInd w:val="0"/>
        <w:snapToGrid w:val="0"/>
        <w:spacing w:line="440" w:lineRule="exact"/>
        <w:ind w:firstLine="420" w:firstLineChars="200"/>
        <w:rPr>
          <w:rFonts w:cs="宋体"/>
          <w:szCs w:val="21"/>
        </w:rPr>
      </w:pPr>
      <w:r>
        <w:rPr>
          <w:rFonts w:hint="eastAsia" w:cs="宋体"/>
          <w:szCs w:val="21"/>
        </w:rPr>
        <w:t>现行有效的企业标准、团体标准、地方标准及产品明示质量要求</w:t>
      </w:r>
    </w:p>
    <w:p w14:paraId="5C7E682E">
      <w:pPr>
        <w:adjustRightInd w:val="0"/>
        <w:snapToGrid w:val="0"/>
        <w:spacing w:line="440" w:lineRule="exact"/>
        <w:outlineLvl w:val="1"/>
        <w:rPr>
          <w:szCs w:val="21"/>
        </w:rPr>
      </w:pPr>
      <w:r>
        <w:rPr>
          <w:rFonts w:hint="eastAsia"/>
          <w:szCs w:val="21"/>
        </w:rPr>
        <w:t>3.2判定原则</w:t>
      </w:r>
    </w:p>
    <w:p w14:paraId="786F9E60">
      <w:pPr>
        <w:adjustRightInd w:val="0"/>
        <w:snapToGrid w:val="0"/>
        <w:spacing w:line="440" w:lineRule="exact"/>
        <w:ind w:firstLine="420" w:firstLineChars="200"/>
        <w:outlineLvl w:val="1"/>
        <w:rPr>
          <w:rFonts w:eastAsia="黑体"/>
          <w:szCs w:val="21"/>
        </w:rPr>
      </w:pPr>
      <w:r>
        <w:rPr>
          <w:rFonts w:hint="eastAsia"/>
          <w:color w:val="000000"/>
          <w:szCs w:val="21"/>
        </w:rPr>
        <w:t>经检验，检验项目全部合格，判定为被抽查产品所检项目未发现不合格；检验项目中任一项或一项以上不合格，判定为被抽查产品不合格。</w:t>
      </w:r>
    </w:p>
    <w:p w14:paraId="6D1BB7C4">
      <w:pPr>
        <w:adjustRightInd w:val="0"/>
        <w:snapToGrid w:val="0"/>
        <w:spacing w:line="440" w:lineRule="exact"/>
        <w:ind w:firstLine="420" w:firstLineChars="200"/>
        <w:outlineLvl w:val="1"/>
        <w:rPr>
          <w:rFonts w:eastAsia="黑体"/>
          <w:szCs w:val="21"/>
        </w:rPr>
      </w:pPr>
      <w:r>
        <w:rPr>
          <w:rFonts w:hint="eastAsia"/>
          <w:color w:val="000000"/>
          <w:szCs w:val="21"/>
        </w:rPr>
        <w:t>若被检产品明示的质量要求高于本细则中检验项目依据的标准要求时，应按被检产品明示的质量要求判定。</w:t>
      </w:r>
    </w:p>
    <w:p w14:paraId="5B65D3CF">
      <w:pPr>
        <w:adjustRightInd w:val="0"/>
        <w:snapToGrid w:val="0"/>
        <w:spacing w:line="440" w:lineRule="exact"/>
        <w:ind w:firstLine="420" w:firstLineChars="200"/>
        <w:outlineLvl w:val="1"/>
        <w:rPr>
          <w:rFonts w:eastAsia="黑体"/>
          <w:szCs w:val="21"/>
        </w:rPr>
      </w:pPr>
      <w:r>
        <w:rPr>
          <w:rFonts w:hint="eastAsia"/>
          <w:color w:val="000000"/>
          <w:szCs w:val="21"/>
        </w:rPr>
        <w:t>若被检产品明示的质量要求低于本细则中检验项目依据的强制性标准要求时，应按照强制性标准要求判定。</w:t>
      </w:r>
    </w:p>
    <w:p w14:paraId="6C7BA4E8">
      <w:pPr>
        <w:adjustRightInd w:val="0"/>
        <w:snapToGrid w:val="0"/>
        <w:spacing w:line="440" w:lineRule="exact"/>
        <w:ind w:firstLine="420" w:firstLineChars="200"/>
        <w:outlineLvl w:val="1"/>
        <w:rPr>
          <w:rFonts w:eastAsia="黑体"/>
          <w:szCs w:val="21"/>
        </w:rPr>
      </w:pPr>
      <w:r>
        <w:rPr>
          <w:rFonts w:hint="eastAsia"/>
          <w:color w:val="000000"/>
          <w:szCs w:val="21"/>
        </w:rPr>
        <w:t>若被检产品明示的质量要求低于或包含本细则中检验项目依据的推荐性标准要求时，应以被检产品明示的质量要求判定。</w:t>
      </w:r>
    </w:p>
    <w:p w14:paraId="5E724A05">
      <w:pPr>
        <w:adjustRightInd w:val="0"/>
        <w:snapToGrid w:val="0"/>
        <w:spacing w:line="440" w:lineRule="exact"/>
        <w:ind w:firstLine="420" w:firstLineChars="200"/>
        <w:outlineLvl w:val="1"/>
        <w:rPr>
          <w:rFonts w:eastAsia="黑体"/>
          <w:szCs w:val="21"/>
        </w:rPr>
      </w:pPr>
      <w:r>
        <w:rPr>
          <w:rFonts w:hint="eastAsia"/>
          <w:color w:val="000000"/>
          <w:szCs w:val="21"/>
        </w:rPr>
        <w:t>若被检产品明示的质量要求缺少本细则中检验项目依据的强制性标准要求时，应按照强制性标准要求判定。</w:t>
      </w:r>
    </w:p>
    <w:p w14:paraId="321EB21F">
      <w:pPr>
        <w:adjustRightInd w:val="0"/>
        <w:snapToGrid w:val="0"/>
        <w:spacing w:line="440" w:lineRule="exact"/>
        <w:ind w:firstLine="420" w:firstLineChars="200"/>
        <w:outlineLvl w:val="1"/>
        <w:rPr>
          <w:rFonts w:hint="eastAsia"/>
          <w:color w:val="000000"/>
          <w:szCs w:val="21"/>
        </w:rPr>
      </w:pPr>
      <w:r>
        <w:rPr>
          <w:rFonts w:hint="eastAsia"/>
          <w:color w:val="000000"/>
          <w:szCs w:val="21"/>
        </w:rPr>
        <w:t>若被检产品明示的质量要求缺少本细则中检验项目依据的推荐性标准要求时，该项目不参与判定。</w:t>
      </w:r>
    </w:p>
    <w:p w14:paraId="36B92F21">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outlineLvl w:val="1"/>
        <w:rPr>
          <w:rFonts w:hint="eastAsia"/>
          <w:color w:val="000000"/>
          <w:szCs w:val="21"/>
        </w:rPr>
      </w:pPr>
    </w:p>
    <w:p w14:paraId="3490D7DA">
      <w:pPr>
        <w:keepNext w:val="0"/>
        <w:keepLines w:val="0"/>
        <w:pageBreakBefore w:val="0"/>
        <w:widowControl w:val="0"/>
        <w:kinsoku/>
        <w:wordWrap/>
        <w:overflowPunct/>
        <w:topLinePunct w:val="0"/>
        <w:autoSpaceDE/>
        <w:autoSpaceDN/>
        <w:bidi w:val="0"/>
        <w:spacing w:line="440" w:lineRule="exact"/>
        <w:ind w:left="420" w:hanging="420" w:hangingChars="200"/>
        <w:textAlignment w:val="auto"/>
        <w:outlineLvl w:val="0"/>
        <w:rPr>
          <w:rFonts w:hint="default" w:ascii="Times New Roman" w:hAnsi="Times New Roman" w:eastAsia="黑体" w:cs="Times New Roman"/>
          <w:color w:val="000000"/>
          <w:szCs w:val="21"/>
        </w:rPr>
      </w:pPr>
      <w:r>
        <w:rPr>
          <w:rFonts w:hint="eastAsia" w:eastAsia="黑体" w:cs="Times New Roman"/>
          <w:color w:val="000000"/>
          <w:szCs w:val="21"/>
          <w:lang w:val="en-US" w:eastAsia="zh-CN"/>
        </w:rPr>
        <w:t>4</w:t>
      </w:r>
      <w:r>
        <w:rPr>
          <w:rFonts w:hint="default" w:ascii="Times New Roman" w:hAnsi="Times New Roman" w:eastAsia="黑体" w:cs="Times New Roman"/>
          <w:color w:val="000000"/>
          <w:szCs w:val="21"/>
        </w:rPr>
        <w:t xml:space="preserve"> </w:t>
      </w:r>
      <w:r>
        <w:rPr>
          <w:rFonts w:hint="eastAsia" w:eastAsia="黑体" w:cs="Times New Roman"/>
          <w:color w:val="000000"/>
          <w:szCs w:val="21"/>
          <w:lang w:val="en-US" w:eastAsia="zh-CN"/>
        </w:rPr>
        <w:t>附</w:t>
      </w:r>
      <w:r>
        <w:rPr>
          <w:rFonts w:hint="default" w:ascii="Times New Roman" w:hAnsi="Times New Roman" w:eastAsia="黑体" w:cs="Times New Roman"/>
          <w:color w:val="000000"/>
          <w:szCs w:val="21"/>
        </w:rPr>
        <w:t>则</w:t>
      </w:r>
    </w:p>
    <w:p w14:paraId="7E70258F">
      <w:pPr>
        <w:adjustRightInd w:val="0"/>
        <w:snapToGrid w:val="0"/>
        <w:spacing w:line="440" w:lineRule="exact"/>
        <w:ind w:firstLine="420" w:firstLineChars="200"/>
        <w:outlineLvl w:val="1"/>
        <w:rPr>
          <w:rFonts w:hint="eastAsia"/>
          <w:color w:val="000000"/>
          <w:szCs w:val="21"/>
        </w:rPr>
      </w:pPr>
      <w:r>
        <w:rPr>
          <w:rFonts w:hint="eastAsia"/>
          <w:color w:val="000000"/>
          <w:szCs w:val="21"/>
        </w:rPr>
        <w:t>本细则代替西藏自治区市场监督管理局关于发布《产品质量监督抽查实施细则（2024版）》（第一批）的通告中的《西藏自治区婴幼儿奶瓶</w:t>
      </w:r>
      <w:bookmarkStart w:id="2" w:name="_GoBack"/>
      <w:bookmarkEnd w:id="2"/>
      <w:r>
        <w:rPr>
          <w:rFonts w:hint="eastAsia"/>
          <w:color w:val="000000"/>
          <w:szCs w:val="21"/>
        </w:rPr>
        <w:t>产品质量监督抽查实施细则</w:t>
      </w:r>
      <w:r>
        <w:rPr>
          <w:rFonts w:hint="eastAsia"/>
          <w:color w:val="000000"/>
          <w:szCs w:val="21"/>
          <w:lang w:eastAsia="zh-CN"/>
        </w:rPr>
        <w:t>（</w:t>
      </w:r>
      <w:r>
        <w:rPr>
          <w:rFonts w:hint="eastAsia"/>
          <w:color w:val="000000"/>
          <w:szCs w:val="21"/>
        </w:rPr>
        <w:t>2024版</w:t>
      </w:r>
      <w:r>
        <w:rPr>
          <w:rFonts w:hint="eastAsia"/>
          <w:color w:val="000000"/>
          <w:szCs w:val="21"/>
          <w:lang w:eastAsia="zh-CN"/>
        </w:rPr>
        <w:t>）</w:t>
      </w:r>
      <w:r>
        <w:rPr>
          <w:rFonts w:hint="eastAsia"/>
          <w:color w:val="000000"/>
          <w:szCs w:val="21"/>
        </w:rPr>
        <w:t>》。</w:t>
      </w:r>
    </w:p>
    <w:sectPr>
      <w:footerReference r:id="rId3" w:type="default"/>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42D98">
    <w:pPr>
      <w:pStyle w:val="4"/>
      <w:jc w:val="center"/>
    </w:pPr>
    <w:r>
      <w:fldChar w:fldCharType="begin"/>
    </w:r>
    <w:r>
      <w:instrText xml:space="preserve">PAGE   \* MERGEFORMAT</w:instrText>
    </w:r>
    <w:r>
      <w:fldChar w:fldCharType="separate"/>
    </w:r>
    <w:r>
      <w:rPr>
        <w:lang w:val="zh-CN"/>
      </w:rPr>
      <w:t>1</w:t>
    </w:r>
    <w:r>
      <w:fldChar w:fldCharType="end"/>
    </w:r>
  </w:p>
  <w:p w14:paraId="5B76145B">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WU1MTU2MzAzMzNhZTkxNGU3YzRiYzI5MDg3MTQwZmQifQ=="/>
  </w:docVars>
  <w:rsids>
    <w:rsidRoot w:val="00752E6A"/>
    <w:rsid w:val="00006736"/>
    <w:rsid w:val="00010E96"/>
    <w:rsid w:val="00017B35"/>
    <w:rsid w:val="00026924"/>
    <w:rsid w:val="00035343"/>
    <w:rsid w:val="00053F02"/>
    <w:rsid w:val="000625CF"/>
    <w:rsid w:val="00096E29"/>
    <w:rsid w:val="000A080C"/>
    <w:rsid w:val="000F53DE"/>
    <w:rsid w:val="00104656"/>
    <w:rsid w:val="00120E76"/>
    <w:rsid w:val="00127815"/>
    <w:rsid w:val="00131D4C"/>
    <w:rsid w:val="00181213"/>
    <w:rsid w:val="001A75C3"/>
    <w:rsid w:val="001B28D7"/>
    <w:rsid w:val="001E1A20"/>
    <w:rsid w:val="001F3718"/>
    <w:rsid w:val="00203ABE"/>
    <w:rsid w:val="002146D0"/>
    <w:rsid w:val="00257FC1"/>
    <w:rsid w:val="002D3752"/>
    <w:rsid w:val="002E040F"/>
    <w:rsid w:val="00307328"/>
    <w:rsid w:val="00314CE1"/>
    <w:rsid w:val="00326F6D"/>
    <w:rsid w:val="00327E5E"/>
    <w:rsid w:val="00340B75"/>
    <w:rsid w:val="00391C40"/>
    <w:rsid w:val="003A5D24"/>
    <w:rsid w:val="003B091C"/>
    <w:rsid w:val="003F300C"/>
    <w:rsid w:val="00414CE9"/>
    <w:rsid w:val="00420B26"/>
    <w:rsid w:val="00451273"/>
    <w:rsid w:val="00456CCD"/>
    <w:rsid w:val="00460ADB"/>
    <w:rsid w:val="004677D2"/>
    <w:rsid w:val="00480F24"/>
    <w:rsid w:val="004A0691"/>
    <w:rsid w:val="004D451C"/>
    <w:rsid w:val="004F66FC"/>
    <w:rsid w:val="005450AB"/>
    <w:rsid w:val="00561EC2"/>
    <w:rsid w:val="00567A25"/>
    <w:rsid w:val="00574E2C"/>
    <w:rsid w:val="0057510B"/>
    <w:rsid w:val="005D48BB"/>
    <w:rsid w:val="005E0058"/>
    <w:rsid w:val="00600DD8"/>
    <w:rsid w:val="006444B5"/>
    <w:rsid w:val="006769EE"/>
    <w:rsid w:val="00716D35"/>
    <w:rsid w:val="00752E6A"/>
    <w:rsid w:val="007610BC"/>
    <w:rsid w:val="007770DD"/>
    <w:rsid w:val="007A7EA7"/>
    <w:rsid w:val="007B2607"/>
    <w:rsid w:val="007C2EE3"/>
    <w:rsid w:val="007E48F2"/>
    <w:rsid w:val="00805E81"/>
    <w:rsid w:val="00825ED6"/>
    <w:rsid w:val="00872DDB"/>
    <w:rsid w:val="0087518C"/>
    <w:rsid w:val="00886882"/>
    <w:rsid w:val="008952C2"/>
    <w:rsid w:val="008B6A29"/>
    <w:rsid w:val="008F2FC4"/>
    <w:rsid w:val="009053AD"/>
    <w:rsid w:val="00946D18"/>
    <w:rsid w:val="00963052"/>
    <w:rsid w:val="00964546"/>
    <w:rsid w:val="009E56A4"/>
    <w:rsid w:val="00A0706E"/>
    <w:rsid w:val="00A07A94"/>
    <w:rsid w:val="00A24789"/>
    <w:rsid w:val="00A26470"/>
    <w:rsid w:val="00A270F4"/>
    <w:rsid w:val="00A6360C"/>
    <w:rsid w:val="00A86FBC"/>
    <w:rsid w:val="00AA2CD6"/>
    <w:rsid w:val="00AD6E09"/>
    <w:rsid w:val="00AE2E3D"/>
    <w:rsid w:val="00B10389"/>
    <w:rsid w:val="00B14675"/>
    <w:rsid w:val="00B3498F"/>
    <w:rsid w:val="00B37622"/>
    <w:rsid w:val="00B42B9E"/>
    <w:rsid w:val="00B9527A"/>
    <w:rsid w:val="00BA05B2"/>
    <w:rsid w:val="00BA328F"/>
    <w:rsid w:val="00BA40F9"/>
    <w:rsid w:val="00C1406D"/>
    <w:rsid w:val="00C21BC6"/>
    <w:rsid w:val="00C23996"/>
    <w:rsid w:val="00C33C3B"/>
    <w:rsid w:val="00C66B2F"/>
    <w:rsid w:val="00C92D5D"/>
    <w:rsid w:val="00CD39E7"/>
    <w:rsid w:val="00CD4DD2"/>
    <w:rsid w:val="00D371B3"/>
    <w:rsid w:val="00D878F5"/>
    <w:rsid w:val="00D92B09"/>
    <w:rsid w:val="00DA0C0A"/>
    <w:rsid w:val="00DB1A4B"/>
    <w:rsid w:val="00DE26AC"/>
    <w:rsid w:val="00DF3932"/>
    <w:rsid w:val="00E401CD"/>
    <w:rsid w:val="00E4432F"/>
    <w:rsid w:val="00E472D2"/>
    <w:rsid w:val="00E66117"/>
    <w:rsid w:val="00E742A6"/>
    <w:rsid w:val="00E827C6"/>
    <w:rsid w:val="00E92C44"/>
    <w:rsid w:val="00EB3DC6"/>
    <w:rsid w:val="00EC7B2E"/>
    <w:rsid w:val="00F20833"/>
    <w:rsid w:val="00F30DC1"/>
    <w:rsid w:val="00F324D1"/>
    <w:rsid w:val="00F40848"/>
    <w:rsid w:val="00F93A0B"/>
    <w:rsid w:val="00FD629F"/>
    <w:rsid w:val="00FE2571"/>
    <w:rsid w:val="00FE2FFA"/>
    <w:rsid w:val="00FF2CB3"/>
    <w:rsid w:val="026F49F5"/>
    <w:rsid w:val="096C0C06"/>
    <w:rsid w:val="09AD50A6"/>
    <w:rsid w:val="0CE63D6F"/>
    <w:rsid w:val="0D8922A9"/>
    <w:rsid w:val="0DC81C60"/>
    <w:rsid w:val="10C77AD8"/>
    <w:rsid w:val="11433FCF"/>
    <w:rsid w:val="12731E42"/>
    <w:rsid w:val="1589462E"/>
    <w:rsid w:val="16B0032B"/>
    <w:rsid w:val="16EC7E6F"/>
    <w:rsid w:val="19031638"/>
    <w:rsid w:val="1AD00627"/>
    <w:rsid w:val="1E110D1F"/>
    <w:rsid w:val="1F2851F9"/>
    <w:rsid w:val="21FC679E"/>
    <w:rsid w:val="220F73A9"/>
    <w:rsid w:val="267E427C"/>
    <w:rsid w:val="29A07CA1"/>
    <w:rsid w:val="2B2D41EB"/>
    <w:rsid w:val="2DF47C38"/>
    <w:rsid w:val="2E0B1C92"/>
    <w:rsid w:val="2F8551C6"/>
    <w:rsid w:val="313047E9"/>
    <w:rsid w:val="31D746E7"/>
    <w:rsid w:val="3213075D"/>
    <w:rsid w:val="32672EAC"/>
    <w:rsid w:val="34803BAB"/>
    <w:rsid w:val="38D8029E"/>
    <w:rsid w:val="3C5965E1"/>
    <w:rsid w:val="3E861AA1"/>
    <w:rsid w:val="3E910FD1"/>
    <w:rsid w:val="3F143DBA"/>
    <w:rsid w:val="406F7878"/>
    <w:rsid w:val="410733E5"/>
    <w:rsid w:val="4111685C"/>
    <w:rsid w:val="428B55F1"/>
    <w:rsid w:val="439338E4"/>
    <w:rsid w:val="4609059D"/>
    <w:rsid w:val="47021CFC"/>
    <w:rsid w:val="472411E9"/>
    <w:rsid w:val="47C76D48"/>
    <w:rsid w:val="487208FE"/>
    <w:rsid w:val="51FE56F4"/>
    <w:rsid w:val="52777DA9"/>
    <w:rsid w:val="5478404C"/>
    <w:rsid w:val="549B1B69"/>
    <w:rsid w:val="5520266A"/>
    <w:rsid w:val="57C52953"/>
    <w:rsid w:val="586C2392"/>
    <w:rsid w:val="5B2123AD"/>
    <w:rsid w:val="5CE35E19"/>
    <w:rsid w:val="5DD4749B"/>
    <w:rsid w:val="631B3E5A"/>
    <w:rsid w:val="640675A2"/>
    <w:rsid w:val="64A21EF5"/>
    <w:rsid w:val="64BF3152"/>
    <w:rsid w:val="65E95CF4"/>
    <w:rsid w:val="67977763"/>
    <w:rsid w:val="6C2802B0"/>
    <w:rsid w:val="6EB6008B"/>
    <w:rsid w:val="70951CEA"/>
    <w:rsid w:val="71E06205"/>
    <w:rsid w:val="73D75BEF"/>
    <w:rsid w:val="76347D92"/>
    <w:rsid w:val="79B869D7"/>
    <w:rsid w:val="79BD19C3"/>
    <w:rsid w:val="7AAB23E2"/>
    <w:rsid w:val="7C9D5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Balloon Text"/>
    <w:basedOn w:val="1"/>
    <w:link w:val="11"/>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annotation reference"/>
    <w:unhideWhenUsed/>
    <w:qFormat/>
    <w:uiPriority w:val="99"/>
    <w:rPr>
      <w:sz w:val="21"/>
      <w:szCs w:val="21"/>
    </w:rPr>
  </w:style>
  <w:style w:type="character" w:customStyle="1" w:styleId="10">
    <w:name w:val="批注文字 字符"/>
    <w:link w:val="2"/>
    <w:uiPriority w:val="0"/>
    <w:rPr>
      <w:kern w:val="2"/>
      <w:sz w:val="21"/>
      <w:szCs w:val="22"/>
    </w:rPr>
  </w:style>
  <w:style w:type="character" w:customStyle="1" w:styleId="11">
    <w:name w:val="批注框文本 字符"/>
    <w:link w:val="3"/>
    <w:qFormat/>
    <w:uiPriority w:val="0"/>
    <w:rPr>
      <w:kern w:val="2"/>
      <w:sz w:val="18"/>
      <w:szCs w:val="18"/>
    </w:rPr>
  </w:style>
  <w:style w:type="character" w:customStyle="1" w:styleId="12">
    <w:name w:val="页脚 字符"/>
    <w:link w:val="4"/>
    <w:qFormat/>
    <w:uiPriority w:val="99"/>
    <w:rPr>
      <w:kern w:val="2"/>
      <w:sz w:val="18"/>
      <w:szCs w:val="18"/>
    </w:rPr>
  </w:style>
  <w:style w:type="character" w:customStyle="1" w:styleId="13">
    <w:name w:val="页眉 字符"/>
    <w:link w:val="5"/>
    <w:qFormat/>
    <w:uiPriority w:val="0"/>
    <w:rPr>
      <w:kern w:val="2"/>
      <w:sz w:val="18"/>
      <w:szCs w:val="18"/>
    </w:rPr>
  </w:style>
  <w:style w:type="character" w:customStyle="1" w:styleId="14">
    <w:name w:val="批注主题 字符"/>
    <w:link w:val="6"/>
    <w:qFormat/>
    <w:uiPriority w:val="0"/>
    <w:rPr>
      <w:b/>
      <w:bCs/>
      <w:kern w:val="2"/>
      <w:sz w:val="21"/>
      <w:szCs w:val="22"/>
    </w:rPr>
  </w:style>
  <w:style w:type="paragraph" w:customStyle="1" w:styleId="15">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932</Words>
  <Characters>1151</Characters>
  <Lines>9</Lines>
  <Paragraphs>2</Paragraphs>
  <TotalTime>0</TotalTime>
  <ScaleCrop>false</ScaleCrop>
  <LinksUpToDate>false</LinksUpToDate>
  <CharactersWithSpaces>1182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2024-01-30T06:31:00Z</dcterms:created>
  <dc:creator>EDY</dc:creator>
  <cp:lastModifiedBy>夺命曾茫茫</cp:lastModifiedBy>
  <cp:lastPrinted>2024-03-04T07:26:00Z</cp:lastPrinted>
  <dcterms:modified xsi:type="dcterms:W3CDTF">2025-06-19T14:49:54Z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530733C1BE4442BE806D5237EF191742</vt:lpwstr>
  </property>
  <property fmtid="{D5CDD505-2E9C-101B-9397-08002B2CF9AE}" pid="4" name="KSOTemplateDocerSaveRecord">
    <vt:lpwstr>eyJoZGlkIjoiNDMxOTYyNDEzMWFjZTk4ODVmMmE4MDJkZTNlNjkzNzAiLCJ1c2VySWQiOiI2NTk2MDAwNDMifQ==</vt:lpwstr>
  </property>
</Properties>
</file>