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26716">
      <w:pPr>
        <w:spacing w:line="440" w:lineRule="exact"/>
        <w:jc w:val="center"/>
        <w:rPr>
          <w:rFonts w:hint="eastAsia" w:ascii="黑体" w:hAnsi="黑体" w:eastAsia="黑体" w:cs="黑体"/>
          <w:sz w:val="32"/>
          <w:szCs w:val="32"/>
        </w:rPr>
      </w:pPr>
      <w:r>
        <w:rPr>
          <w:rFonts w:hint="eastAsia" w:ascii="黑体" w:hAnsi="黑体" w:eastAsia="黑体" w:cs="黑体"/>
          <w:sz w:val="32"/>
          <w:szCs w:val="32"/>
        </w:rPr>
        <w:t>西藏自治区</w:t>
      </w:r>
      <w:r>
        <w:rPr>
          <w:rFonts w:hint="eastAsia" w:ascii="黑体" w:hAnsi="黑体" w:eastAsia="黑体" w:cs="黑体"/>
          <w:sz w:val="32"/>
          <w:szCs w:val="32"/>
          <w:lang w:val="en-US" w:eastAsia="zh-CN"/>
        </w:rPr>
        <w:t>陶瓷餐饮具产品</w:t>
      </w:r>
      <w:r>
        <w:rPr>
          <w:rFonts w:hint="eastAsia" w:ascii="黑体" w:hAnsi="黑体" w:eastAsia="黑体" w:cs="黑体"/>
          <w:sz w:val="32"/>
          <w:szCs w:val="32"/>
        </w:rPr>
        <w:t>质量监督抽查实施细则</w:t>
      </w:r>
    </w:p>
    <w:p w14:paraId="01A55D69">
      <w:pPr>
        <w:spacing w:line="440" w:lineRule="exact"/>
        <w:jc w:val="center"/>
        <w:rPr>
          <w:rFonts w:hint="eastAsia" w:ascii="黑体" w:hAnsi="黑体" w:eastAsia="黑体" w:cs="黑体"/>
          <w:sz w:val="32"/>
          <w:szCs w:val="32"/>
          <w:highlight w:val="none"/>
        </w:rPr>
      </w:pPr>
      <w:r>
        <w:rPr>
          <w:rFonts w:hint="eastAsia" w:ascii="黑体" w:hAnsi="黑体" w:eastAsia="黑体" w:cs="黑体"/>
          <w:sz w:val="32"/>
          <w:szCs w:val="32"/>
          <w:highlight w:val="none"/>
        </w:rPr>
        <w:t>（202</w:t>
      </w:r>
      <w:r>
        <w:rPr>
          <w:rFonts w:hint="eastAsia" w:ascii="黑体" w:hAnsi="黑体" w:eastAsia="黑体" w:cs="黑体"/>
          <w:sz w:val="32"/>
          <w:szCs w:val="32"/>
          <w:highlight w:val="none"/>
          <w:lang w:val="en-US" w:eastAsia="zh-CN"/>
        </w:rPr>
        <w:t>5</w:t>
      </w:r>
      <w:r>
        <w:rPr>
          <w:rFonts w:hint="eastAsia" w:ascii="黑体" w:hAnsi="黑体" w:eastAsia="黑体" w:cs="黑体"/>
          <w:sz w:val="32"/>
          <w:szCs w:val="32"/>
          <w:highlight w:val="none"/>
        </w:rPr>
        <w:t>年版）</w:t>
      </w:r>
    </w:p>
    <w:p w14:paraId="6576DC14">
      <w:pPr>
        <w:pStyle w:val="5"/>
        <w:spacing w:line="440" w:lineRule="exact"/>
        <w:rPr>
          <w:rFonts w:ascii="Times New Roman" w:hAnsi="Times New Roman"/>
          <w:sz w:val="21"/>
          <w:szCs w:val="21"/>
        </w:rPr>
      </w:pPr>
    </w:p>
    <w:p w14:paraId="084015D3">
      <w:pPr>
        <w:spacing w:line="440" w:lineRule="exact"/>
        <w:rPr>
          <w:rFonts w:hint="eastAsia" w:ascii="黑体" w:hAnsi="黑体" w:eastAsia="黑体" w:cs="黑体"/>
          <w:szCs w:val="21"/>
        </w:rPr>
      </w:pPr>
      <w:r>
        <w:rPr>
          <w:rFonts w:hint="eastAsia" w:ascii="黑体" w:hAnsi="黑体" w:eastAsia="黑体" w:cs="黑体"/>
          <w:szCs w:val="21"/>
        </w:rPr>
        <w:t>1 抽样方法</w:t>
      </w:r>
    </w:p>
    <w:p w14:paraId="13CD4240">
      <w:pPr>
        <w:snapToGrid w:val="0"/>
        <w:spacing w:line="440" w:lineRule="exact"/>
        <w:ind w:firstLine="420" w:firstLineChars="200"/>
        <w:rPr>
          <w:szCs w:val="21"/>
        </w:rPr>
      </w:pPr>
      <w:r>
        <w:rPr>
          <w:szCs w:val="21"/>
        </w:rPr>
        <w:t>以随机抽样的方式在被抽样生产者、销售者的待销产品中抽取。</w:t>
      </w:r>
    </w:p>
    <w:p w14:paraId="3F3C23C5">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70F0D480">
      <w:pPr>
        <w:snapToGrid w:val="0"/>
        <w:spacing w:line="440" w:lineRule="exact"/>
        <w:ind w:firstLine="420" w:firstLineChars="200"/>
        <w:rPr>
          <w:szCs w:val="21"/>
        </w:rPr>
      </w:pPr>
      <w:r>
        <w:rPr>
          <w:szCs w:val="21"/>
        </w:rPr>
        <w:t>抽样基数满足抽样数量即可。</w:t>
      </w:r>
    </w:p>
    <w:p w14:paraId="79EA24C6">
      <w:pPr>
        <w:snapToGrid w:val="0"/>
        <w:spacing w:line="440" w:lineRule="exact"/>
        <w:ind w:firstLine="420" w:firstLineChars="200"/>
        <w:rPr>
          <w:szCs w:val="21"/>
        </w:rPr>
      </w:pPr>
      <w:r>
        <w:rPr>
          <w:szCs w:val="21"/>
        </w:rPr>
        <w:t>每批次抽样数量见表1。</w:t>
      </w:r>
    </w:p>
    <w:p w14:paraId="7C4B5546">
      <w:pPr>
        <w:adjustRightInd w:val="0"/>
        <w:snapToGrid w:val="0"/>
        <w:ind w:firstLine="420" w:firstLineChars="200"/>
        <w:jc w:val="center"/>
        <w:rPr>
          <w:szCs w:val="21"/>
        </w:rPr>
      </w:pPr>
      <w:r>
        <w:rPr>
          <w:rFonts w:hint="eastAsia" w:ascii="宋体" w:hAnsi="宋体" w:eastAsia="宋体" w:cs="宋体"/>
          <w:szCs w:val="21"/>
        </w:rPr>
        <w:t>表1 陶瓷</w:t>
      </w:r>
      <w:r>
        <w:rPr>
          <w:rFonts w:hint="eastAsia" w:ascii="宋体" w:hAnsi="宋体" w:eastAsia="宋体" w:cs="宋体"/>
          <w:szCs w:val="21"/>
          <w:lang w:val="en-US" w:eastAsia="zh-CN"/>
        </w:rPr>
        <w:t>餐饮具</w:t>
      </w:r>
      <w:r>
        <w:rPr>
          <w:rFonts w:hint="eastAsia" w:ascii="宋体" w:hAnsi="宋体" w:eastAsia="宋体" w:cs="宋体"/>
          <w:szCs w:val="21"/>
        </w:rPr>
        <w:t>抽取样品数量</w:t>
      </w:r>
    </w:p>
    <w:tbl>
      <w:tblPr>
        <w:tblStyle w:val="10"/>
        <w:tblW w:w="4890" w:type="pct"/>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autofit"/>
        <w:tblCellMar>
          <w:top w:w="0" w:type="dxa"/>
          <w:left w:w="0" w:type="dxa"/>
          <w:bottom w:w="0" w:type="dxa"/>
          <w:right w:w="0" w:type="dxa"/>
        </w:tblCellMar>
      </w:tblPr>
      <w:tblGrid>
        <w:gridCol w:w="754"/>
        <w:gridCol w:w="2175"/>
        <w:gridCol w:w="1717"/>
        <w:gridCol w:w="2013"/>
        <w:gridCol w:w="2112"/>
      </w:tblGrid>
      <w:tr w14:paraId="34BE18BC">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trHeight w:val="362" w:hRule="atLeast"/>
          <w:jc w:val="center"/>
        </w:trPr>
        <w:tc>
          <w:tcPr>
            <w:tcW w:w="430" w:type="pct"/>
            <w:tcBorders>
              <w:top w:val="single" w:color="auto" w:sz="4" w:space="0"/>
              <w:left w:val="single" w:color="auto" w:sz="4" w:space="0"/>
              <w:bottom w:val="single" w:color="auto" w:sz="4" w:space="0"/>
              <w:right w:val="single" w:color="auto" w:sz="4" w:space="0"/>
            </w:tcBorders>
            <w:noWrap w:val="0"/>
            <w:vAlign w:val="center"/>
          </w:tcPr>
          <w:p w14:paraId="35193BFE">
            <w:pPr>
              <w:adjustRightInd w:val="0"/>
              <w:snapToGrid w:val="0"/>
              <w:jc w:val="center"/>
              <w:rPr>
                <w:rFonts w:hint="eastAsia" w:ascii="宋体" w:hAnsi="宋体" w:eastAsia="宋体" w:cs="宋体"/>
                <w:szCs w:val="21"/>
              </w:rPr>
            </w:pPr>
            <w:r>
              <w:rPr>
                <w:rFonts w:hint="eastAsia" w:ascii="宋体" w:hAnsi="宋体" w:eastAsia="宋体" w:cs="宋体"/>
                <w:szCs w:val="21"/>
              </w:rPr>
              <w:t>序号</w:t>
            </w:r>
          </w:p>
        </w:tc>
        <w:tc>
          <w:tcPr>
            <w:tcW w:w="1239" w:type="pct"/>
            <w:tcBorders>
              <w:top w:val="single" w:color="auto" w:sz="4" w:space="0"/>
              <w:left w:val="single" w:color="auto" w:sz="4" w:space="0"/>
              <w:bottom w:val="single" w:color="auto" w:sz="4" w:space="0"/>
              <w:right w:val="single" w:color="auto" w:sz="4" w:space="0"/>
            </w:tcBorders>
            <w:noWrap w:val="0"/>
            <w:vAlign w:val="center"/>
          </w:tcPr>
          <w:p w14:paraId="5652439C">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产品</w:t>
            </w:r>
            <w:r>
              <w:rPr>
                <w:rFonts w:hint="eastAsia" w:ascii="宋体" w:hAnsi="宋体" w:eastAsia="宋体" w:cs="宋体"/>
                <w:szCs w:val="21"/>
                <w:lang w:val="en-US" w:eastAsia="zh-CN"/>
              </w:rPr>
              <w:t>名称</w:t>
            </w:r>
          </w:p>
        </w:tc>
        <w:tc>
          <w:tcPr>
            <w:tcW w:w="978" w:type="pct"/>
            <w:tcBorders>
              <w:top w:val="single" w:color="auto" w:sz="4" w:space="0"/>
              <w:left w:val="single" w:color="auto" w:sz="4" w:space="0"/>
              <w:bottom w:val="single" w:color="auto" w:sz="4" w:space="0"/>
              <w:right w:val="single" w:color="auto" w:sz="4" w:space="0"/>
            </w:tcBorders>
            <w:noWrap w:val="0"/>
            <w:vAlign w:val="center"/>
          </w:tcPr>
          <w:p w14:paraId="2006904B">
            <w:pPr>
              <w:adjustRightInd w:val="0"/>
              <w:snapToGrid w:val="0"/>
              <w:jc w:val="center"/>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抽样数量（</w:t>
            </w:r>
            <w:r>
              <w:rPr>
                <w:rFonts w:hint="eastAsia" w:ascii="宋体" w:hAnsi="宋体" w:eastAsia="宋体" w:cs="宋体"/>
                <w:szCs w:val="21"/>
                <w:lang w:val="en-US" w:eastAsia="zh-CN"/>
              </w:rPr>
              <w:t>件</w:t>
            </w:r>
            <w:r>
              <w:rPr>
                <w:rFonts w:hint="eastAsia" w:ascii="宋体" w:hAnsi="宋体" w:eastAsia="宋体" w:cs="宋体"/>
                <w:szCs w:val="21"/>
              </w:rPr>
              <w:t>）</w:t>
            </w:r>
          </w:p>
        </w:tc>
        <w:tc>
          <w:tcPr>
            <w:tcW w:w="1147" w:type="pct"/>
            <w:tcBorders>
              <w:top w:val="single" w:color="auto" w:sz="4" w:space="0"/>
              <w:left w:val="single" w:color="auto" w:sz="4" w:space="0"/>
              <w:bottom w:val="single" w:color="auto" w:sz="4" w:space="0"/>
              <w:right w:val="single" w:color="auto" w:sz="4" w:space="0"/>
            </w:tcBorders>
            <w:noWrap w:val="0"/>
            <w:vAlign w:val="center"/>
          </w:tcPr>
          <w:p w14:paraId="0D4625DE">
            <w:pPr>
              <w:adjustRightInd w:val="0"/>
              <w:snapToGrid w:val="0"/>
              <w:jc w:val="center"/>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检验样品数量（</w:t>
            </w:r>
            <w:r>
              <w:rPr>
                <w:rFonts w:hint="eastAsia" w:ascii="宋体" w:hAnsi="宋体" w:eastAsia="宋体" w:cs="宋体"/>
                <w:szCs w:val="21"/>
                <w:lang w:val="en-US" w:eastAsia="zh-CN"/>
              </w:rPr>
              <w:t>件</w:t>
            </w:r>
            <w:r>
              <w:rPr>
                <w:rFonts w:hint="eastAsia" w:ascii="宋体" w:hAnsi="宋体" w:eastAsia="宋体" w:cs="宋体"/>
                <w:szCs w:val="21"/>
              </w:rPr>
              <w:t>）</w:t>
            </w:r>
          </w:p>
        </w:tc>
        <w:tc>
          <w:tcPr>
            <w:tcW w:w="1203" w:type="pct"/>
            <w:tcBorders>
              <w:top w:val="single" w:color="auto" w:sz="4" w:space="0"/>
              <w:left w:val="single" w:color="auto" w:sz="4" w:space="0"/>
              <w:bottom w:val="single" w:color="auto" w:sz="4" w:space="0"/>
              <w:right w:val="single" w:color="auto" w:sz="4" w:space="0"/>
            </w:tcBorders>
            <w:noWrap w:val="0"/>
            <w:vAlign w:val="center"/>
          </w:tcPr>
          <w:p w14:paraId="6C773E09">
            <w:pPr>
              <w:adjustRightInd w:val="0"/>
              <w:snapToGrid w:val="0"/>
              <w:jc w:val="center"/>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备用样品数量（</w:t>
            </w:r>
            <w:r>
              <w:rPr>
                <w:rFonts w:hint="eastAsia" w:ascii="宋体" w:hAnsi="宋体" w:eastAsia="宋体" w:cs="宋体"/>
                <w:szCs w:val="21"/>
                <w:lang w:val="en-US" w:eastAsia="zh-CN"/>
              </w:rPr>
              <w:t>件</w:t>
            </w:r>
            <w:r>
              <w:rPr>
                <w:rFonts w:hint="eastAsia" w:ascii="宋体" w:hAnsi="宋体" w:eastAsia="宋体" w:cs="宋体"/>
                <w:szCs w:val="21"/>
              </w:rPr>
              <w:t>）</w:t>
            </w:r>
          </w:p>
        </w:tc>
      </w:tr>
      <w:tr w14:paraId="44941FF1">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trHeight w:val="358" w:hRule="atLeast"/>
          <w:jc w:val="center"/>
        </w:trPr>
        <w:tc>
          <w:tcPr>
            <w:tcW w:w="430" w:type="pct"/>
            <w:tcBorders>
              <w:top w:val="single" w:color="auto" w:sz="4" w:space="0"/>
              <w:left w:val="single" w:color="auto" w:sz="4" w:space="0"/>
              <w:bottom w:val="single" w:color="auto" w:sz="4" w:space="0"/>
              <w:right w:val="single" w:color="auto" w:sz="4" w:space="0"/>
            </w:tcBorders>
            <w:noWrap w:val="0"/>
            <w:vAlign w:val="center"/>
          </w:tcPr>
          <w:p w14:paraId="37BBFDE3">
            <w:pPr>
              <w:adjustRightInd w:val="0"/>
              <w:snapToGrid w:val="0"/>
              <w:jc w:val="center"/>
              <w:rPr>
                <w:rFonts w:hint="default" w:ascii="宋体" w:hAnsi="宋体" w:eastAsia="宋体" w:cs="宋体"/>
                <w:szCs w:val="21"/>
                <w:u w:val="none"/>
                <w:lang w:val="en-US" w:eastAsia="zh-CN"/>
              </w:rPr>
            </w:pPr>
            <w:r>
              <w:rPr>
                <w:rFonts w:hint="eastAsia" w:ascii="宋体" w:hAnsi="宋体" w:eastAsia="宋体" w:cs="宋体"/>
                <w:szCs w:val="21"/>
                <w:u w:val="none"/>
                <w:lang w:val="en-US" w:eastAsia="zh-CN"/>
              </w:rPr>
              <w:t>1</w:t>
            </w:r>
          </w:p>
        </w:tc>
        <w:tc>
          <w:tcPr>
            <w:tcW w:w="1239" w:type="pct"/>
            <w:tcBorders>
              <w:top w:val="single" w:color="auto" w:sz="4" w:space="0"/>
              <w:left w:val="single" w:color="auto" w:sz="4" w:space="0"/>
              <w:bottom w:val="single" w:color="auto" w:sz="4" w:space="0"/>
              <w:right w:val="single" w:color="auto" w:sz="4" w:space="0"/>
            </w:tcBorders>
            <w:noWrap w:val="0"/>
            <w:vAlign w:val="center"/>
          </w:tcPr>
          <w:p w14:paraId="55A35704">
            <w:pPr>
              <w:adjustRightInd w:val="0"/>
              <w:snapToGrid w:val="0"/>
              <w:jc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陶瓷餐饮具</w:t>
            </w:r>
          </w:p>
        </w:tc>
        <w:tc>
          <w:tcPr>
            <w:tcW w:w="978" w:type="pct"/>
            <w:tcBorders>
              <w:top w:val="single" w:color="auto" w:sz="4" w:space="0"/>
              <w:left w:val="single" w:color="auto" w:sz="4" w:space="0"/>
              <w:bottom w:val="single" w:color="auto" w:sz="4" w:space="0"/>
              <w:right w:val="single" w:color="auto" w:sz="4" w:space="0"/>
            </w:tcBorders>
            <w:noWrap w:val="0"/>
            <w:vAlign w:val="center"/>
          </w:tcPr>
          <w:p w14:paraId="47DDE9FA">
            <w:pPr>
              <w:adjustRightInd w:val="0"/>
              <w:snapToGrid w:val="0"/>
              <w:jc w:val="center"/>
              <w:rPr>
                <w:rFonts w:hint="default" w:ascii="宋体" w:hAnsi="宋体" w:eastAsia="宋体" w:cs="宋体"/>
                <w:szCs w:val="21"/>
                <w:highlight w:val="none"/>
                <w:u w:val="none"/>
                <w:lang w:val="en-US"/>
              </w:rPr>
            </w:pPr>
            <w:r>
              <w:rPr>
                <w:rFonts w:hint="eastAsia" w:ascii="宋体" w:hAnsi="宋体" w:eastAsia="宋体" w:cs="宋体"/>
                <w:bCs/>
                <w:sz w:val="21"/>
                <w:szCs w:val="21"/>
                <w:u w:val="none"/>
              </w:rPr>
              <w:t>≥</w:t>
            </w:r>
            <w:r>
              <w:rPr>
                <w:rFonts w:hint="eastAsia" w:ascii="Times New Roman" w:hAnsi="Times New Roman" w:eastAsia="宋体" w:cs="Times New Roman"/>
                <w:bCs/>
                <w:sz w:val="21"/>
                <w:szCs w:val="21"/>
                <w:u w:val="none"/>
                <w:lang w:val="en-US" w:eastAsia="zh-CN"/>
              </w:rPr>
              <w:t>16</w:t>
            </w:r>
          </w:p>
        </w:tc>
        <w:tc>
          <w:tcPr>
            <w:tcW w:w="1147" w:type="pct"/>
            <w:tcBorders>
              <w:top w:val="single" w:color="auto" w:sz="4" w:space="0"/>
              <w:left w:val="single" w:color="auto" w:sz="4" w:space="0"/>
              <w:bottom w:val="single" w:color="auto" w:sz="4" w:space="0"/>
              <w:right w:val="single" w:color="auto" w:sz="4" w:space="0"/>
            </w:tcBorders>
            <w:noWrap w:val="0"/>
            <w:vAlign w:val="center"/>
          </w:tcPr>
          <w:p w14:paraId="15C7CA0F">
            <w:pPr>
              <w:adjustRightInd w:val="0"/>
              <w:snapToGrid w:val="0"/>
              <w:jc w:val="center"/>
              <w:rPr>
                <w:rFonts w:hint="default" w:ascii="宋体" w:hAnsi="宋体" w:eastAsia="宋体" w:cs="宋体"/>
                <w:szCs w:val="21"/>
                <w:highlight w:val="none"/>
                <w:u w:val="none"/>
                <w:lang w:val="en-US" w:eastAsia="zh-CN"/>
              </w:rPr>
            </w:pPr>
            <w:r>
              <w:rPr>
                <w:rFonts w:hint="eastAsia" w:ascii="宋体" w:hAnsi="宋体" w:eastAsia="宋体" w:cs="宋体"/>
                <w:bCs/>
                <w:sz w:val="21"/>
                <w:szCs w:val="21"/>
                <w:u w:val="none"/>
              </w:rPr>
              <w:t>≥</w:t>
            </w:r>
            <w:r>
              <w:rPr>
                <w:rFonts w:hint="eastAsia" w:ascii="Times New Roman" w:hAnsi="Times New Roman" w:eastAsia="宋体" w:cs="Times New Roman"/>
                <w:bCs/>
                <w:sz w:val="21"/>
                <w:szCs w:val="21"/>
                <w:u w:val="none"/>
                <w:lang w:val="en-US" w:eastAsia="zh-CN"/>
              </w:rPr>
              <w:t>10</w:t>
            </w:r>
          </w:p>
        </w:tc>
        <w:tc>
          <w:tcPr>
            <w:tcW w:w="1203" w:type="pct"/>
            <w:tcBorders>
              <w:top w:val="single" w:color="auto" w:sz="4" w:space="0"/>
              <w:left w:val="single" w:color="auto" w:sz="4" w:space="0"/>
              <w:bottom w:val="single" w:color="auto" w:sz="4" w:space="0"/>
              <w:right w:val="single" w:color="auto" w:sz="4" w:space="0"/>
            </w:tcBorders>
            <w:noWrap w:val="0"/>
            <w:vAlign w:val="center"/>
          </w:tcPr>
          <w:p w14:paraId="17DB33CE">
            <w:pPr>
              <w:adjustRightInd w:val="0"/>
              <w:snapToGrid w:val="0"/>
              <w:jc w:val="center"/>
              <w:rPr>
                <w:rFonts w:hint="default" w:ascii="宋体" w:hAnsi="宋体" w:eastAsia="宋体" w:cs="宋体"/>
                <w:szCs w:val="21"/>
                <w:highlight w:val="none"/>
                <w:u w:val="none"/>
                <w:lang w:val="en-US" w:eastAsia="zh-CN"/>
              </w:rPr>
            </w:pPr>
            <w:r>
              <w:rPr>
                <w:rFonts w:hint="eastAsia" w:ascii="宋体" w:hAnsi="宋体" w:eastAsia="宋体" w:cs="宋体"/>
                <w:bCs/>
                <w:sz w:val="21"/>
                <w:szCs w:val="21"/>
                <w:u w:val="none"/>
              </w:rPr>
              <w:t>≥</w:t>
            </w:r>
            <w:r>
              <w:rPr>
                <w:rFonts w:hint="eastAsia" w:ascii="Times New Roman" w:hAnsi="Times New Roman" w:eastAsia="宋体" w:cs="Times New Roman"/>
                <w:bCs/>
                <w:sz w:val="21"/>
                <w:szCs w:val="21"/>
                <w:u w:val="none"/>
                <w:lang w:val="en-US" w:eastAsia="zh-CN"/>
              </w:rPr>
              <w:t>6</w:t>
            </w:r>
            <w:bookmarkStart w:id="0" w:name="_GoBack"/>
            <w:bookmarkEnd w:id="0"/>
          </w:p>
        </w:tc>
      </w:tr>
    </w:tbl>
    <w:p w14:paraId="32618F5E">
      <w:pPr>
        <w:spacing w:line="440" w:lineRule="exact"/>
        <w:rPr>
          <w:rFonts w:ascii="Times New Roman" w:hAnsi="Times New Roman" w:eastAsia="黑体" w:cs="Times New Roman"/>
          <w:szCs w:val="21"/>
        </w:rPr>
      </w:pPr>
    </w:p>
    <w:p w14:paraId="7CA79965">
      <w:pPr>
        <w:spacing w:line="440" w:lineRule="exact"/>
        <w:rPr>
          <w:rFonts w:ascii="Times New Roman" w:hAnsi="Times New Roman" w:eastAsia="黑体" w:cs="Times New Roman"/>
          <w:szCs w:val="21"/>
        </w:rPr>
      </w:pPr>
      <w:r>
        <w:rPr>
          <w:rFonts w:ascii="Times New Roman" w:hAnsi="Times New Roman" w:eastAsia="黑体" w:cs="Times New Roman"/>
          <w:szCs w:val="21"/>
        </w:rPr>
        <w:t xml:space="preserve">2 </w:t>
      </w:r>
      <w:r>
        <w:rPr>
          <w:rFonts w:hint="eastAsia" w:ascii="Times New Roman" w:hAnsi="Times New Roman" w:eastAsia="黑体" w:cs="Times New Roman"/>
          <w:szCs w:val="21"/>
        </w:rPr>
        <w:t>检验依据</w:t>
      </w:r>
    </w:p>
    <w:p w14:paraId="3D5A3123">
      <w:pPr>
        <w:adjustRightInd w:val="0"/>
        <w:snapToGrid w:val="0"/>
        <w:ind w:firstLine="420" w:firstLineChars="200"/>
        <w:jc w:val="center"/>
        <w:rPr>
          <w:rFonts w:hint="eastAsia"/>
        </w:rPr>
      </w:pPr>
      <w:r>
        <w:rPr>
          <w:rFonts w:hint="eastAsia" w:ascii="宋体" w:hAnsi="宋体" w:eastAsia="宋体" w:cs="宋体"/>
          <w:szCs w:val="21"/>
        </w:rPr>
        <w:t>表</w:t>
      </w:r>
      <w:r>
        <w:rPr>
          <w:rFonts w:hint="eastAsia" w:ascii="宋体" w:hAnsi="宋体" w:eastAsia="宋体" w:cs="宋体"/>
          <w:szCs w:val="21"/>
          <w:lang w:val="en-US" w:eastAsia="zh-CN"/>
        </w:rPr>
        <w:t xml:space="preserve">2 </w:t>
      </w:r>
      <w:r>
        <w:rPr>
          <w:rFonts w:hint="eastAsia" w:ascii="宋体" w:hAnsi="宋体" w:eastAsia="宋体" w:cs="宋体"/>
          <w:szCs w:val="21"/>
          <w:u w:val="none"/>
          <w:lang w:val="en-US" w:eastAsia="zh-CN"/>
        </w:rPr>
        <w:t>陶瓷餐饮具</w:t>
      </w:r>
      <w:r>
        <w:rPr>
          <w:rFonts w:hint="eastAsia" w:ascii="宋体" w:hAnsi="宋体" w:eastAsia="宋体" w:cs="宋体"/>
          <w:szCs w:val="21"/>
        </w:rPr>
        <w:t xml:space="preserve">   </w:t>
      </w:r>
    </w:p>
    <w:tbl>
      <w:tblPr>
        <w:tblStyle w:val="10"/>
        <w:tblW w:w="48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3870"/>
        <w:gridCol w:w="4136"/>
      </w:tblGrid>
      <w:tr w14:paraId="47ED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80" w:type="pct"/>
            <w:vAlign w:val="center"/>
          </w:tcPr>
          <w:p w14:paraId="264E16E7">
            <w:pPr>
              <w:adjustRightInd w:val="0"/>
              <w:snapToGrid w:val="0"/>
              <w:jc w:val="center"/>
              <w:rPr>
                <w:rFonts w:hint="eastAsia" w:ascii="宋体" w:hAnsi="宋体" w:eastAsia="宋体" w:cs="宋体"/>
                <w:szCs w:val="21"/>
              </w:rPr>
            </w:pPr>
            <w:r>
              <w:rPr>
                <w:rFonts w:hint="eastAsia" w:ascii="宋体" w:hAnsi="宋体" w:eastAsia="宋体" w:cs="宋体"/>
                <w:szCs w:val="21"/>
              </w:rPr>
              <w:t>序号</w:t>
            </w:r>
          </w:p>
        </w:tc>
        <w:tc>
          <w:tcPr>
            <w:tcW w:w="2184" w:type="pct"/>
            <w:vAlign w:val="center"/>
          </w:tcPr>
          <w:p w14:paraId="0538FB3C">
            <w:pPr>
              <w:adjustRightInd w:val="0"/>
              <w:snapToGrid w:val="0"/>
              <w:jc w:val="center"/>
              <w:rPr>
                <w:rFonts w:hint="eastAsia" w:ascii="宋体" w:hAnsi="宋体" w:eastAsia="宋体" w:cs="宋体"/>
                <w:szCs w:val="21"/>
              </w:rPr>
            </w:pPr>
            <w:r>
              <w:rPr>
                <w:rFonts w:hint="eastAsia" w:ascii="宋体" w:hAnsi="宋体" w:eastAsia="宋体" w:cs="宋体"/>
                <w:szCs w:val="21"/>
              </w:rPr>
              <w:t>检验项目</w:t>
            </w:r>
          </w:p>
        </w:tc>
        <w:tc>
          <w:tcPr>
            <w:tcW w:w="2334" w:type="pct"/>
            <w:vAlign w:val="center"/>
          </w:tcPr>
          <w:p w14:paraId="33C0C702">
            <w:pPr>
              <w:adjustRightInd w:val="0"/>
              <w:snapToGrid w:val="0"/>
              <w:jc w:val="center"/>
              <w:rPr>
                <w:rFonts w:hint="eastAsia" w:ascii="宋体" w:hAnsi="宋体" w:eastAsia="宋体" w:cs="宋体"/>
                <w:szCs w:val="21"/>
              </w:rPr>
            </w:pPr>
            <w:r>
              <w:rPr>
                <w:rFonts w:hint="eastAsia" w:ascii="宋体" w:hAnsi="宋体" w:eastAsia="宋体" w:cs="宋体"/>
                <w:szCs w:val="21"/>
              </w:rPr>
              <w:t>检验方法</w:t>
            </w:r>
          </w:p>
        </w:tc>
      </w:tr>
      <w:tr w14:paraId="22544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0" w:type="pct"/>
            <w:shd w:val="clear" w:color="auto" w:fill="auto"/>
            <w:vAlign w:val="center"/>
          </w:tcPr>
          <w:p w14:paraId="7B801575">
            <w:pPr>
              <w:snapToGrid w:val="0"/>
              <w:spacing w:line="320" w:lineRule="exact"/>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1</w:t>
            </w:r>
          </w:p>
        </w:tc>
        <w:tc>
          <w:tcPr>
            <w:tcW w:w="2184" w:type="pct"/>
            <w:vAlign w:val="center"/>
          </w:tcPr>
          <w:p w14:paraId="7A9E86A3">
            <w:pPr>
              <w:snapToGrid w:val="0"/>
              <w:spacing w:line="320" w:lineRule="exact"/>
              <w:jc w:val="center"/>
              <w:rPr>
                <w:rFonts w:hint="eastAsia" w:ascii="宋体" w:hAnsi="宋体" w:cs="黑体"/>
                <w:szCs w:val="21"/>
                <w:lang w:eastAsia="zh-CN"/>
              </w:rPr>
            </w:pPr>
            <w:r>
              <w:rPr>
                <w:rFonts w:hint="eastAsia" w:ascii="宋体" w:hAnsi="宋体" w:cs="黑体"/>
                <w:szCs w:val="21"/>
              </w:rPr>
              <w:t>铅迁移量</w:t>
            </w:r>
          </w:p>
        </w:tc>
        <w:tc>
          <w:tcPr>
            <w:tcW w:w="2334" w:type="pct"/>
            <w:vAlign w:val="center"/>
          </w:tcPr>
          <w:p w14:paraId="4A3E4CC2">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rPr>
              <w:t>GB 31604.34-2016</w:t>
            </w:r>
          </w:p>
        </w:tc>
      </w:tr>
      <w:tr w14:paraId="7BE7E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0" w:type="pct"/>
            <w:vAlign w:val="center"/>
          </w:tcPr>
          <w:p w14:paraId="467FAB17">
            <w:pPr>
              <w:snapToGrid w:val="0"/>
              <w:spacing w:line="320" w:lineRule="exact"/>
              <w:jc w:val="center"/>
              <w:rPr>
                <w:rFonts w:hint="eastAsia"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2</w:t>
            </w:r>
          </w:p>
        </w:tc>
        <w:tc>
          <w:tcPr>
            <w:tcW w:w="2184" w:type="pct"/>
            <w:vAlign w:val="center"/>
          </w:tcPr>
          <w:p w14:paraId="01B3F130">
            <w:pPr>
              <w:snapToGrid w:val="0"/>
              <w:spacing w:line="320" w:lineRule="exact"/>
              <w:jc w:val="center"/>
              <w:rPr>
                <w:rFonts w:hint="eastAsia" w:ascii="宋体" w:hAnsi="宋体" w:cs="黑体"/>
                <w:szCs w:val="21"/>
                <w:lang w:val="en-US" w:eastAsia="zh-CN"/>
              </w:rPr>
            </w:pPr>
            <w:r>
              <w:rPr>
                <w:rFonts w:hint="eastAsia" w:ascii="宋体" w:hAnsi="宋体" w:cs="黑体"/>
                <w:szCs w:val="21"/>
              </w:rPr>
              <w:t>镉迁移量</w:t>
            </w:r>
          </w:p>
        </w:tc>
        <w:tc>
          <w:tcPr>
            <w:tcW w:w="2334" w:type="pct"/>
            <w:vAlign w:val="center"/>
          </w:tcPr>
          <w:p w14:paraId="38895BE5">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rPr>
              <w:t>GB 31604.24-2016</w:t>
            </w:r>
          </w:p>
        </w:tc>
      </w:tr>
    </w:tbl>
    <w:p w14:paraId="052F2537">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63758B56">
      <w:pPr>
        <w:snapToGrid w:val="0"/>
        <w:spacing w:line="440" w:lineRule="exact"/>
        <w:ind w:firstLine="359" w:firstLineChars="171"/>
      </w:pPr>
      <w:r>
        <w:rPr>
          <w:szCs w:val="21"/>
        </w:rPr>
        <w:t>凡是注日期的文件，其随后所有的修改单（不包括勘误的内容）或修订版不适用于本细则。凡是不注日期的文件，其最新版本适用于本细则。</w:t>
      </w:r>
    </w:p>
    <w:p w14:paraId="22618F27">
      <w:pPr>
        <w:spacing w:line="440" w:lineRule="exact"/>
        <w:rPr>
          <w:rFonts w:ascii="Times New Roman" w:hAnsi="Times New Roman" w:eastAsia="黑体" w:cs="Times New Roman"/>
          <w:szCs w:val="21"/>
        </w:rPr>
      </w:pPr>
      <w:r>
        <w:rPr>
          <w:rFonts w:ascii="Times New Roman" w:hAnsi="Times New Roman" w:eastAsia="黑体" w:cs="Times New Roman"/>
          <w:szCs w:val="21"/>
        </w:rPr>
        <w:t xml:space="preserve">3 </w:t>
      </w:r>
      <w:r>
        <w:rPr>
          <w:rFonts w:hint="eastAsia" w:ascii="Times New Roman" w:hAnsi="Times New Roman" w:eastAsia="黑体" w:cs="Times New Roman"/>
          <w:szCs w:val="21"/>
        </w:rPr>
        <w:t>判定规则</w:t>
      </w:r>
    </w:p>
    <w:p w14:paraId="329DD17A">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p>
    <w:p w14:paraId="0ED0E7E3">
      <w:pPr>
        <w:adjustRightInd w:val="0"/>
        <w:snapToGrid w:val="0"/>
        <w:spacing w:line="440" w:lineRule="exact"/>
        <w:ind w:left="359" w:leftChars="171"/>
        <w:rPr>
          <w:rFonts w:ascii="Times New Roman" w:hAnsi="Times New Roman" w:cs="Times New Roman"/>
        </w:rPr>
      </w:pPr>
      <w:r>
        <w:rPr>
          <w:rFonts w:ascii="Times New Roman" w:hAnsi="Times New Roman" w:cs="Times New Roman"/>
        </w:rPr>
        <w:t>GB 4806.4-2016 食品安全国家标准 陶瓷制品</w:t>
      </w:r>
    </w:p>
    <w:p w14:paraId="78C696B8">
      <w:pPr>
        <w:snapToGrid w:val="0"/>
        <w:spacing w:line="440" w:lineRule="exact"/>
        <w:ind w:firstLine="420" w:firstLineChars="200"/>
        <w:rPr>
          <w:szCs w:val="21"/>
        </w:rPr>
      </w:pPr>
      <w:r>
        <w:rPr>
          <w:szCs w:val="21"/>
        </w:rPr>
        <w:t>现行有效的企业标准、团体标准、地方标准及产品明示质量要求</w:t>
      </w:r>
    </w:p>
    <w:p w14:paraId="17D99C20">
      <w:pPr>
        <w:snapToGrid w:val="0"/>
        <w:spacing w:line="440" w:lineRule="exact"/>
        <w:rPr>
          <w:rFonts w:hint="eastAsia" w:ascii="宋体" w:hAnsi="宋体" w:eastAsia="宋体" w:cs="宋体"/>
          <w:szCs w:val="21"/>
        </w:rPr>
      </w:pPr>
      <w:r>
        <w:rPr>
          <w:rFonts w:hint="eastAsia" w:ascii="宋体" w:hAnsi="宋体" w:eastAsia="宋体" w:cs="宋体"/>
          <w:szCs w:val="21"/>
        </w:rPr>
        <w:t>3.2判定原则</w:t>
      </w:r>
    </w:p>
    <w:p w14:paraId="08D1E3F2">
      <w:pPr>
        <w:snapToGrid w:val="0"/>
        <w:spacing w:line="440" w:lineRule="exact"/>
        <w:ind w:firstLine="417" w:firstLineChars="199"/>
        <w:rPr>
          <w:szCs w:val="21"/>
        </w:rPr>
      </w:pPr>
      <w:r>
        <w:rPr>
          <w:rFonts w:hint="eastAsia"/>
          <w:szCs w:val="21"/>
        </w:rPr>
        <w:t>经检验，检验项目全部合格，判定为被抽查产品所检项目未发现不合格；检验项目中任一项或一项以上不合格，判定为被抽查产品不合格。</w:t>
      </w:r>
    </w:p>
    <w:p w14:paraId="420DD792">
      <w:pPr>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14:paraId="771DC379">
      <w:pPr>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14:paraId="526CF330">
      <w:pPr>
        <w:snapToGrid w:val="0"/>
        <w:spacing w:line="440" w:lineRule="exact"/>
        <w:ind w:firstLine="417" w:firstLineChars="199"/>
        <w:rPr>
          <w:szCs w:val="21"/>
        </w:rPr>
      </w:pPr>
      <w:r>
        <w:rPr>
          <w:rFonts w:hint="eastAsia"/>
          <w:szCs w:val="21"/>
        </w:rPr>
        <w:t>若被检产品明示的质量要求低于或包含本细则中检验项目依据的推荐性标准要求时，应以被检产品明示的质量要求判定。</w:t>
      </w:r>
    </w:p>
    <w:p w14:paraId="0086EFAD">
      <w:pPr>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14:paraId="1BAE37D1">
      <w:pPr>
        <w:snapToGrid w:val="0"/>
        <w:spacing w:line="440" w:lineRule="exact"/>
        <w:ind w:firstLine="417" w:firstLineChars="199"/>
      </w:pPr>
      <w:r>
        <w:rPr>
          <w:rFonts w:hint="eastAsia"/>
          <w:szCs w:val="21"/>
        </w:rPr>
        <w:t>若被检产品明示的质量要求缺少本细则中检验项目依据的推荐性标准要求时，该项目不参与判定。</w:t>
      </w:r>
    </w:p>
    <w:p w14:paraId="2216EEDD">
      <w:pPr>
        <w:spacing w:line="440" w:lineRule="exact"/>
        <w:rPr>
          <w:rFonts w:ascii="Times New Roman" w:hAnsi="Times New Roman" w:eastAsia="黑体" w:cs="Times New Roman"/>
          <w:szCs w:val="21"/>
        </w:rPr>
      </w:pPr>
      <w:r>
        <w:rPr>
          <w:rFonts w:hint="eastAsia" w:ascii="Times New Roman" w:hAnsi="Times New Roman" w:eastAsia="黑体" w:cs="Times New Roman"/>
          <w:szCs w:val="21"/>
        </w:rPr>
        <w:t>4</w:t>
      </w:r>
      <w:r>
        <w:rPr>
          <w:rFonts w:ascii="Times New Roman" w:hAnsi="Times New Roman" w:eastAsia="黑体" w:cs="Times New Roman"/>
          <w:szCs w:val="21"/>
        </w:rPr>
        <w:t xml:space="preserve"> 附则</w:t>
      </w:r>
    </w:p>
    <w:p w14:paraId="023539BC">
      <w:pPr>
        <w:spacing w:line="440" w:lineRule="exact"/>
        <w:ind w:firstLine="420" w:firstLineChars="200"/>
        <w:rPr>
          <w:color w:val="000000"/>
        </w:rPr>
      </w:pPr>
      <w:r>
        <w:rPr>
          <w:color w:val="000000"/>
          <w:szCs w:val="21"/>
        </w:rPr>
        <w:t>本细则代替</w:t>
      </w:r>
      <w:r>
        <w:rPr>
          <w:rFonts w:hint="eastAsia"/>
          <w:color w:val="000000"/>
          <w:szCs w:val="21"/>
        </w:rPr>
        <w:t>《西藏自治区市场监督管理局关于发布&lt;产品质量监督抽查实施细</w:t>
      </w:r>
      <w:r>
        <w:rPr>
          <w:rFonts w:hint="default" w:ascii="Times New Roman" w:hAnsi="Times New Roman" w:cs="Times New Roman"/>
          <w:color w:val="000000"/>
          <w:szCs w:val="21"/>
        </w:rPr>
        <w:t>则（202</w:t>
      </w:r>
      <w:r>
        <w:rPr>
          <w:rFonts w:hint="eastAsia" w:ascii="Times New Roman" w:hAnsi="Times New Roman" w:cs="Times New Roman"/>
          <w:color w:val="000000"/>
          <w:szCs w:val="21"/>
          <w:lang w:val="en-US" w:eastAsia="zh-CN"/>
        </w:rPr>
        <w:t>4</w:t>
      </w:r>
      <w:r>
        <w:rPr>
          <w:rFonts w:hint="default" w:ascii="Times New Roman" w:hAnsi="Times New Roman" w:cs="Times New Roman"/>
          <w:color w:val="000000"/>
          <w:szCs w:val="21"/>
        </w:rPr>
        <w:t>版）&gt;（第</w:t>
      </w:r>
      <w:r>
        <w:rPr>
          <w:rFonts w:hint="eastAsia" w:ascii="Times New Roman" w:hAnsi="Times New Roman" w:cs="Times New Roman"/>
          <w:color w:val="000000"/>
          <w:szCs w:val="21"/>
          <w:lang w:val="en-US" w:eastAsia="zh-CN"/>
        </w:rPr>
        <w:t>二</w:t>
      </w:r>
      <w:r>
        <w:rPr>
          <w:rFonts w:hint="default" w:ascii="Times New Roman" w:hAnsi="Times New Roman" w:cs="Times New Roman"/>
          <w:color w:val="000000"/>
          <w:szCs w:val="21"/>
        </w:rPr>
        <w:t>批）的通告》中的《西藏自治区食品用陶瓷</w:t>
      </w:r>
      <w:r>
        <w:rPr>
          <w:rFonts w:hint="eastAsia" w:ascii="Times New Roman" w:hAnsi="Times New Roman" w:cs="Times New Roman"/>
          <w:color w:val="000000"/>
          <w:szCs w:val="21"/>
          <w:lang w:val="en-US" w:eastAsia="zh-CN"/>
        </w:rPr>
        <w:t>制品</w:t>
      </w:r>
      <w:r>
        <w:rPr>
          <w:rFonts w:hint="default" w:ascii="Times New Roman" w:hAnsi="Times New Roman" w:cs="Times New Roman"/>
          <w:color w:val="000000"/>
          <w:szCs w:val="21"/>
        </w:rPr>
        <w:t>、玻璃制品质量监督抽查实施细则（202</w:t>
      </w:r>
      <w:r>
        <w:rPr>
          <w:rFonts w:hint="eastAsia" w:ascii="Times New Roman" w:hAnsi="Times New Roman" w:cs="Times New Roman"/>
          <w:color w:val="000000"/>
          <w:szCs w:val="21"/>
          <w:lang w:val="en-US" w:eastAsia="zh-CN"/>
        </w:rPr>
        <w:t>4</w:t>
      </w:r>
      <w:r>
        <w:rPr>
          <w:rFonts w:hint="eastAsia"/>
          <w:color w:val="000000"/>
          <w:szCs w:val="21"/>
        </w:rPr>
        <w:t>年版）</w:t>
      </w:r>
      <w:r>
        <w:rPr>
          <w:color w:val="000000"/>
          <w:szCs w:val="21"/>
        </w:rPr>
        <w:t>》</w:t>
      </w:r>
      <w:r>
        <w:rPr>
          <w:rFonts w:hint="eastAsia"/>
          <w:color w:val="000000"/>
        </w:rPr>
        <w:t>。</w:t>
      </w:r>
    </w:p>
    <w:p w14:paraId="512B25EF">
      <w:pPr>
        <w:spacing w:line="440" w:lineRule="exact"/>
        <w:ind w:firstLine="420" w:firstLineChars="200"/>
      </w:pPr>
    </w:p>
    <w:sectPr>
      <w:footerReference r:id="rId3" w:type="default"/>
      <w:pgSz w:w="11906" w:h="16838"/>
      <w:pgMar w:top="1984" w:right="1474" w:bottom="1644"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E719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DE90B3">
                          <w:pPr>
                            <w:pStyle w:val="7"/>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3SIAc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lrUrdMdweI42UJ00dRlhimBx6wsx1Wre0I3/6uerxF9v+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ndIgBzwEAAKoDAAAOAAAAAAAAAAEAIAAAAB4BAABkcnMv&#10;ZTJvRG9jLnhtbFBLBQYAAAAABgAGAFkBAABfBQAAAAA=&#10;">
              <v:fill on="f" focussize="0,0"/>
              <v:stroke on="f"/>
              <v:imagedata o:title=""/>
              <o:lock v:ext="edit" aspectratio="f"/>
              <v:textbox inset="0mm,0mm,0mm,0mm" style="mso-fit-shape-to-text:t;">
                <w:txbxContent>
                  <w:p w14:paraId="0CDE90B3">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 w:name="KSO_WPS_MARK_KEY" w:val="32223cf6-1ca1-4716-a733-84c5ce6cb5da"/>
  </w:docVars>
  <w:rsids>
    <w:rsidRoot w:val="005A6D56"/>
    <w:rsid w:val="00143B99"/>
    <w:rsid w:val="001F0AD6"/>
    <w:rsid w:val="002A461C"/>
    <w:rsid w:val="00376C30"/>
    <w:rsid w:val="004F7D0C"/>
    <w:rsid w:val="005A6D56"/>
    <w:rsid w:val="005C6C83"/>
    <w:rsid w:val="006735B4"/>
    <w:rsid w:val="00796095"/>
    <w:rsid w:val="008959A8"/>
    <w:rsid w:val="008A5DF8"/>
    <w:rsid w:val="00995461"/>
    <w:rsid w:val="009D3979"/>
    <w:rsid w:val="00A66B15"/>
    <w:rsid w:val="00B2265C"/>
    <w:rsid w:val="00D10603"/>
    <w:rsid w:val="00DB6FBA"/>
    <w:rsid w:val="00F64291"/>
    <w:rsid w:val="01253372"/>
    <w:rsid w:val="01E22095"/>
    <w:rsid w:val="01F40F97"/>
    <w:rsid w:val="021D04ED"/>
    <w:rsid w:val="0224553B"/>
    <w:rsid w:val="02936A01"/>
    <w:rsid w:val="02BF77F6"/>
    <w:rsid w:val="03092820"/>
    <w:rsid w:val="03767EB5"/>
    <w:rsid w:val="03B60BF9"/>
    <w:rsid w:val="04814D63"/>
    <w:rsid w:val="04A20987"/>
    <w:rsid w:val="04B213C1"/>
    <w:rsid w:val="04BA0D70"/>
    <w:rsid w:val="04C42EA2"/>
    <w:rsid w:val="04D83B6A"/>
    <w:rsid w:val="05362214"/>
    <w:rsid w:val="055C0FAB"/>
    <w:rsid w:val="057972E2"/>
    <w:rsid w:val="05EF3F4F"/>
    <w:rsid w:val="0621040A"/>
    <w:rsid w:val="062B6E9A"/>
    <w:rsid w:val="06A74829"/>
    <w:rsid w:val="07391925"/>
    <w:rsid w:val="07C82CA9"/>
    <w:rsid w:val="080737D2"/>
    <w:rsid w:val="082D63C9"/>
    <w:rsid w:val="086C7AD9"/>
    <w:rsid w:val="092E2FE0"/>
    <w:rsid w:val="09892A05"/>
    <w:rsid w:val="09D35BF6"/>
    <w:rsid w:val="0A261F09"/>
    <w:rsid w:val="0A577EA6"/>
    <w:rsid w:val="0AFE344A"/>
    <w:rsid w:val="0B2E1312"/>
    <w:rsid w:val="0B6902FF"/>
    <w:rsid w:val="0C290B3C"/>
    <w:rsid w:val="0C4347CD"/>
    <w:rsid w:val="0C6531BD"/>
    <w:rsid w:val="0C712FBD"/>
    <w:rsid w:val="0C7F12F7"/>
    <w:rsid w:val="0C803B53"/>
    <w:rsid w:val="0CCF38FF"/>
    <w:rsid w:val="0CDB522D"/>
    <w:rsid w:val="0D701E19"/>
    <w:rsid w:val="0DCE7B61"/>
    <w:rsid w:val="0DEE56BA"/>
    <w:rsid w:val="0E193F99"/>
    <w:rsid w:val="0E56718E"/>
    <w:rsid w:val="0ED32660"/>
    <w:rsid w:val="0F074AE5"/>
    <w:rsid w:val="0FE31B58"/>
    <w:rsid w:val="1037379A"/>
    <w:rsid w:val="106E264D"/>
    <w:rsid w:val="108F0808"/>
    <w:rsid w:val="10A43B1F"/>
    <w:rsid w:val="10DF5E2F"/>
    <w:rsid w:val="115A63CB"/>
    <w:rsid w:val="118353EB"/>
    <w:rsid w:val="118A13C5"/>
    <w:rsid w:val="11BA57FF"/>
    <w:rsid w:val="120237D7"/>
    <w:rsid w:val="123A3DD7"/>
    <w:rsid w:val="12F8527E"/>
    <w:rsid w:val="13421B62"/>
    <w:rsid w:val="134C478E"/>
    <w:rsid w:val="13AC4B87"/>
    <w:rsid w:val="13E425D7"/>
    <w:rsid w:val="143376FC"/>
    <w:rsid w:val="147B1CC2"/>
    <w:rsid w:val="15C2502C"/>
    <w:rsid w:val="16A85E99"/>
    <w:rsid w:val="16A9014A"/>
    <w:rsid w:val="16E66CA8"/>
    <w:rsid w:val="16F04059"/>
    <w:rsid w:val="16FE3271"/>
    <w:rsid w:val="17614581"/>
    <w:rsid w:val="17AB1606"/>
    <w:rsid w:val="18E611E1"/>
    <w:rsid w:val="193F5C7D"/>
    <w:rsid w:val="197F131F"/>
    <w:rsid w:val="19867419"/>
    <w:rsid w:val="198911D7"/>
    <w:rsid w:val="199143EE"/>
    <w:rsid w:val="199B1FCC"/>
    <w:rsid w:val="19AE0964"/>
    <w:rsid w:val="19B67973"/>
    <w:rsid w:val="1AAB4490"/>
    <w:rsid w:val="1ADE6BE3"/>
    <w:rsid w:val="1BAD248A"/>
    <w:rsid w:val="1BF62280"/>
    <w:rsid w:val="1C2906B8"/>
    <w:rsid w:val="1C2F094C"/>
    <w:rsid w:val="1C7A6810"/>
    <w:rsid w:val="1C90227C"/>
    <w:rsid w:val="1C98639D"/>
    <w:rsid w:val="1CEC2B3E"/>
    <w:rsid w:val="1D072F17"/>
    <w:rsid w:val="1D37200B"/>
    <w:rsid w:val="1DF24184"/>
    <w:rsid w:val="1DF52155"/>
    <w:rsid w:val="1E0D5462"/>
    <w:rsid w:val="1E1B192D"/>
    <w:rsid w:val="1E391DB3"/>
    <w:rsid w:val="1E425E0F"/>
    <w:rsid w:val="1EA040AD"/>
    <w:rsid w:val="1ED815CC"/>
    <w:rsid w:val="1EFF4DAB"/>
    <w:rsid w:val="1FBF600C"/>
    <w:rsid w:val="2091237A"/>
    <w:rsid w:val="20CC7DDB"/>
    <w:rsid w:val="210C0BD3"/>
    <w:rsid w:val="21D44790"/>
    <w:rsid w:val="220152DE"/>
    <w:rsid w:val="22327245"/>
    <w:rsid w:val="2288155B"/>
    <w:rsid w:val="23600ED0"/>
    <w:rsid w:val="236E75AC"/>
    <w:rsid w:val="23C02279"/>
    <w:rsid w:val="242846B9"/>
    <w:rsid w:val="24893BDF"/>
    <w:rsid w:val="250A26FB"/>
    <w:rsid w:val="252235A1"/>
    <w:rsid w:val="255A0F8D"/>
    <w:rsid w:val="25796649"/>
    <w:rsid w:val="25902C01"/>
    <w:rsid w:val="259D70CC"/>
    <w:rsid w:val="25A77F4A"/>
    <w:rsid w:val="26D62895"/>
    <w:rsid w:val="286B3A4E"/>
    <w:rsid w:val="28A15125"/>
    <w:rsid w:val="293B1047"/>
    <w:rsid w:val="29DA269C"/>
    <w:rsid w:val="2A2658E2"/>
    <w:rsid w:val="2A5D507B"/>
    <w:rsid w:val="2A887874"/>
    <w:rsid w:val="2ABB18FE"/>
    <w:rsid w:val="2AD07AC9"/>
    <w:rsid w:val="2B233750"/>
    <w:rsid w:val="2B54647E"/>
    <w:rsid w:val="2B732DA8"/>
    <w:rsid w:val="2B7C25B4"/>
    <w:rsid w:val="2C487330"/>
    <w:rsid w:val="2C5538B5"/>
    <w:rsid w:val="2C9A4365"/>
    <w:rsid w:val="2CD23AFF"/>
    <w:rsid w:val="2D855015"/>
    <w:rsid w:val="2DC810BF"/>
    <w:rsid w:val="2DDE357F"/>
    <w:rsid w:val="2E064A6C"/>
    <w:rsid w:val="2EB87E2E"/>
    <w:rsid w:val="2EBF68AD"/>
    <w:rsid w:val="2EDA313F"/>
    <w:rsid w:val="2F2E6FE6"/>
    <w:rsid w:val="2F5514A4"/>
    <w:rsid w:val="2F73185C"/>
    <w:rsid w:val="30405223"/>
    <w:rsid w:val="31CA1248"/>
    <w:rsid w:val="31D87E64"/>
    <w:rsid w:val="321B1AA4"/>
    <w:rsid w:val="321B766A"/>
    <w:rsid w:val="321D1044"/>
    <w:rsid w:val="32807B59"/>
    <w:rsid w:val="32997EC6"/>
    <w:rsid w:val="341B4A8C"/>
    <w:rsid w:val="35126805"/>
    <w:rsid w:val="35352E7D"/>
    <w:rsid w:val="358636D8"/>
    <w:rsid w:val="35F37C57"/>
    <w:rsid w:val="36462840"/>
    <w:rsid w:val="36DF1167"/>
    <w:rsid w:val="37503F9E"/>
    <w:rsid w:val="375241BA"/>
    <w:rsid w:val="382C5AEE"/>
    <w:rsid w:val="38553914"/>
    <w:rsid w:val="385C64E4"/>
    <w:rsid w:val="38F372D7"/>
    <w:rsid w:val="38FBA5B1"/>
    <w:rsid w:val="39207D9C"/>
    <w:rsid w:val="39FD4D73"/>
    <w:rsid w:val="3B037579"/>
    <w:rsid w:val="3B2F036E"/>
    <w:rsid w:val="3B4A51A8"/>
    <w:rsid w:val="3B5E2A01"/>
    <w:rsid w:val="3BB476E8"/>
    <w:rsid w:val="3C482015"/>
    <w:rsid w:val="3C6A087B"/>
    <w:rsid w:val="3C7C20BA"/>
    <w:rsid w:val="3C93597C"/>
    <w:rsid w:val="3CF61143"/>
    <w:rsid w:val="3CF74EBC"/>
    <w:rsid w:val="3D18555E"/>
    <w:rsid w:val="3D211F38"/>
    <w:rsid w:val="3D7E1C21"/>
    <w:rsid w:val="3D915DD0"/>
    <w:rsid w:val="3D995F73"/>
    <w:rsid w:val="3E2053F4"/>
    <w:rsid w:val="3EFFA074"/>
    <w:rsid w:val="3F9702CA"/>
    <w:rsid w:val="3FC87482"/>
    <w:rsid w:val="40297A82"/>
    <w:rsid w:val="402B37FA"/>
    <w:rsid w:val="408C5260"/>
    <w:rsid w:val="40F03E2B"/>
    <w:rsid w:val="41855BCB"/>
    <w:rsid w:val="418C02C8"/>
    <w:rsid w:val="41C55588"/>
    <w:rsid w:val="423B3A9C"/>
    <w:rsid w:val="435117C9"/>
    <w:rsid w:val="4374370A"/>
    <w:rsid w:val="43923B90"/>
    <w:rsid w:val="43BE1B82"/>
    <w:rsid w:val="43D65933"/>
    <w:rsid w:val="43DA644B"/>
    <w:rsid w:val="43E010AB"/>
    <w:rsid w:val="441B193F"/>
    <w:rsid w:val="445A427D"/>
    <w:rsid w:val="44735529"/>
    <w:rsid w:val="44E60037"/>
    <w:rsid w:val="451A208F"/>
    <w:rsid w:val="452A328D"/>
    <w:rsid w:val="4597723C"/>
    <w:rsid w:val="45A97DC7"/>
    <w:rsid w:val="46BC5C09"/>
    <w:rsid w:val="470B35D1"/>
    <w:rsid w:val="47AF2F63"/>
    <w:rsid w:val="47CA56A6"/>
    <w:rsid w:val="47E31325"/>
    <w:rsid w:val="485633DE"/>
    <w:rsid w:val="486A7600"/>
    <w:rsid w:val="487E4AE0"/>
    <w:rsid w:val="488937B4"/>
    <w:rsid w:val="48CC36A0"/>
    <w:rsid w:val="48F11746"/>
    <w:rsid w:val="48F96714"/>
    <w:rsid w:val="4961028C"/>
    <w:rsid w:val="49FF0FED"/>
    <w:rsid w:val="4A1E1CDA"/>
    <w:rsid w:val="4A3D2AA8"/>
    <w:rsid w:val="4A520AB3"/>
    <w:rsid w:val="4A895CED"/>
    <w:rsid w:val="4A8F2BD7"/>
    <w:rsid w:val="4AC0261B"/>
    <w:rsid w:val="4AD83B4F"/>
    <w:rsid w:val="4AE32F36"/>
    <w:rsid w:val="4AE64290"/>
    <w:rsid w:val="4B097BF2"/>
    <w:rsid w:val="4B37432F"/>
    <w:rsid w:val="4B7F1109"/>
    <w:rsid w:val="4C707740"/>
    <w:rsid w:val="4C7B2DDD"/>
    <w:rsid w:val="4CAF7561"/>
    <w:rsid w:val="4CF17B79"/>
    <w:rsid w:val="4D027691"/>
    <w:rsid w:val="4E1F1EAC"/>
    <w:rsid w:val="4ED6366F"/>
    <w:rsid w:val="50650662"/>
    <w:rsid w:val="506A1724"/>
    <w:rsid w:val="50CA095D"/>
    <w:rsid w:val="518C7E71"/>
    <w:rsid w:val="519D207E"/>
    <w:rsid w:val="51DF61F2"/>
    <w:rsid w:val="53240614"/>
    <w:rsid w:val="533237F6"/>
    <w:rsid w:val="53667FE6"/>
    <w:rsid w:val="5386726D"/>
    <w:rsid w:val="53A019B1"/>
    <w:rsid w:val="5402266C"/>
    <w:rsid w:val="544642B3"/>
    <w:rsid w:val="54696247"/>
    <w:rsid w:val="549B217C"/>
    <w:rsid w:val="54E029AD"/>
    <w:rsid w:val="55256612"/>
    <w:rsid w:val="55B048C2"/>
    <w:rsid w:val="55B42177"/>
    <w:rsid w:val="55D15C6C"/>
    <w:rsid w:val="56170651"/>
    <w:rsid w:val="562F6A83"/>
    <w:rsid w:val="56372AA1"/>
    <w:rsid w:val="567C6706"/>
    <w:rsid w:val="56D315D7"/>
    <w:rsid w:val="57FF8A61"/>
    <w:rsid w:val="5856759A"/>
    <w:rsid w:val="58B5343B"/>
    <w:rsid w:val="592C69A6"/>
    <w:rsid w:val="595830AB"/>
    <w:rsid w:val="59A4092E"/>
    <w:rsid w:val="59BDE4C8"/>
    <w:rsid w:val="5A23076E"/>
    <w:rsid w:val="5B3648CE"/>
    <w:rsid w:val="5B7D11B9"/>
    <w:rsid w:val="5B977B3E"/>
    <w:rsid w:val="5BDB5C7C"/>
    <w:rsid w:val="5BDECAC1"/>
    <w:rsid w:val="5BEF1728"/>
    <w:rsid w:val="5CBF2D50"/>
    <w:rsid w:val="5CFC234E"/>
    <w:rsid w:val="5D900CE9"/>
    <w:rsid w:val="5E1E66DC"/>
    <w:rsid w:val="5FCA04E2"/>
    <w:rsid w:val="5FFF5390"/>
    <w:rsid w:val="61842912"/>
    <w:rsid w:val="61CE5163"/>
    <w:rsid w:val="62E018F9"/>
    <w:rsid w:val="63765DB1"/>
    <w:rsid w:val="63F027F1"/>
    <w:rsid w:val="64DB373E"/>
    <w:rsid w:val="64FD1050"/>
    <w:rsid w:val="650C50F9"/>
    <w:rsid w:val="65DA51F7"/>
    <w:rsid w:val="65F22540"/>
    <w:rsid w:val="66487045"/>
    <w:rsid w:val="667A42E4"/>
    <w:rsid w:val="667C62AE"/>
    <w:rsid w:val="66867883"/>
    <w:rsid w:val="66B54875"/>
    <w:rsid w:val="6747066A"/>
    <w:rsid w:val="67596F6A"/>
    <w:rsid w:val="67D60A87"/>
    <w:rsid w:val="683637E1"/>
    <w:rsid w:val="686B0388"/>
    <w:rsid w:val="68D7F8B5"/>
    <w:rsid w:val="69270753"/>
    <w:rsid w:val="695C7E7A"/>
    <w:rsid w:val="69855479"/>
    <w:rsid w:val="69B1626F"/>
    <w:rsid w:val="6A8A5C65"/>
    <w:rsid w:val="6A9E5F94"/>
    <w:rsid w:val="6B4D2A2F"/>
    <w:rsid w:val="6C3F8CED"/>
    <w:rsid w:val="6C7E24CF"/>
    <w:rsid w:val="6CA200F0"/>
    <w:rsid w:val="6CA721E1"/>
    <w:rsid w:val="6CE87DC7"/>
    <w:rsid w:val="6D4274C8"/>
    <w:rsid w:val="6D445FFE"/>
    <w:rsid w:val="6DC1375A"/>
    <w:rsid w:val="6EB81E4D"/>
    <w:rsid w:val="6EBA3E17"/>
    <w:rsid w:val="6EC9405A"/>
    <w:rsid w:val="6EDA73CC"/>
    <w:rsid w:val="6EF07839"/>
    <w:rsid w:val="6F0E4901"/>
    <w:rsid w:val="6F1572A0"/>
    <w:rsid w:val="6F2FC7AC"/>
    <w:rsid w:val="6F40431D"/>
    <w:rsid w:val="6FFE0B4A"/>
    <w:rsid w:val="708A2EF1"/>
    <w:rsid w:val="70CF59C3"/>
    <w:rsid w:val="70EB475C"/>
    <w:rsid w:val="714479C8"/>
    <w:rsid w:val="7180679C"/>
    <w:rsid w:val="7258372B"/>
    <w:rsid w:val="72735807"/>
    <w:rsid w:val="72B27B5F"/>
    <w:rsid w:val="73353A6C"/>
    <w:rsid w:val="737E4439"/>
    <w:rsid w:val="73B92623"/>
    <w:rsid w:val="746740F9"/>
    <w:rsid w:val="746D0E7A"/>
    <w:rsid w:val="749B7A5D"/>
    <w:rsid w:val="75014A1B"/>
    <w:rsid w:val="751029E3"/>
    <w:rsid w:val="76136DEC"/>
    <w:rsid w:val="76F140CA"/>
    <w:rsid w:val="77190898"/>
    <w:rsid w:val="772462D2"/>
    <w:rsid w:val="77DB35B2"/>
    <w:rsid w:val="77FC4758"/>
    <w:rsid w:val="78526E6F"/>
    <w:rsid w:val="797F0137"/>
    <w:rsid w:val="79BD2A0E"/>
    <w:rsid w:val="79D12015"/>
    <w:rsid w:val="7A9B68AB"/>
    <w:rsid w:val="7BB9F3C3"/>
    <w:rsid w:val="7BDD7475"/>
    <w:rsid w:val="7CEF2EDE"/>
    <w:rsid w:val="7D2A5512"/>
    <w:rsid w:val="7D734D87"/>
    <w:rsid w:val="7D79723E"/>
    <w:rsid w:val="7E12728D"/>
    <w:rsid w:val="7E6C4D0F"/>
    <w:rsid w:val="7E9A5A22"/>
    <w:rsid w:val="7E9C4954"/>
    <w:rsid w:val="7EBB39C0"/>
    <w:rsid w:val="7EC9775F"/>
    <w:rsid w:val="7EDB77E6"/>
    <w:rsid w:val="7EE30820"/>
    <w:rsid w:val="7F3E639F"/>
    <w:rsid w:val="7F769784"/>
    <w:rsid w:val="7F7A5B6B"/>
    <w:rsid w:val="7FABA378"/>
    <w:rsid w:val="7FC93EBA"/>
    <w:rsid w:val="7FCB1D09"/>
    <w:rsid w:val="7FDFDD22"/>
    <w:rsid w:val="7FE44850"/>
    <w:rsid w:val="7FEF31E0"/>
    <w:rsid w:val="9FBFA62C"/>
    <w:rsid w:val="B5FF98CF"/>
    <w:rsid w:val="BDFD80A4"/>
    <w:rsid w:val="BF6F941A"/>
    <w:rsid w:val="BFE37641"/>
    <w:rsid w:val="BFF6BA85"/>
    <w:rsid w:val="D7FE4B78"/>
    <w:rsid w:val="DDFFB908"/>
    <w:rsid w:val="DF5F4A41"/>
    <w:rsid w:val="E6E20794"/>
    <w:rsid w:val="EA9F9903"/>
    <w:rsid w:val="F7DF45A4"/>
    <w:rsid w:val="FDF53F97"/>
    <w:rsid w:val="FF7886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7"/>
    <w:qFormat/>
    <w:uiPriority w:val="0"/>
    <w:pPr>
      <w:jc w:val="left"/>
    </w:pPr>
  </w:style>
  <w:style w:type="paragraph" w:styleId="5">
    <w:name w:val="Plain Text"/>
    <w:basedOn w:val="1"/>
    <w:unhideWhenUsed/>
    <w:qFormat/>
    <w:uiPriority w:val="99"/>
    <w:rPr>
      <w:rFonts w:ascii="宋体" w:hAnsi="Courier New" w:eastAsia="宋体" w:cs="Times New Roman"/>
      <w:kern w:val="0"/>
      <w:sz w:val="20"/>
      <w:szCs w:val="20"/>
    </w:rPr>
  </w:style>
  <w:style w:type="paragraph" w:styleId="6">
    <w:name w:val="Balloon Text"/>
    <w:basedOn w:val="1"/>
    <w:link w:val="19"/>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4"/>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740</Words>
  <Characters>792</Characters>
  <Lines>14</Lines>
  <Paragraphs>3</Paragraphs>
  <TotalTime>11</TotalTime>
  <ScaleCrop>false</ScaleCrop>
  <LinksUpToDate>false</LinksUpToDate>
  <CharactersWithSpaces>809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曲颖白姆</cp:lastModifiedBy>
  <dcterms:modified xsi:type="dcterms:W3CDTF">2025-04-28T10:31:06Z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2FFEE7F0849BD060CFD6D8677EC83780</vt:lpwstr>
  </property>
  <property fmtid="{D5CDD505-2E9C-101B-9397-08002B2CF9AE}" pid="4" name="KSOTemplateDocerSaveRecord">
    <vt:lpwstr>eyJoZGlkIjoiZjNjODg4ZmYzNTc2MzhiNDg2Y2E5ZWMzMjc3NjE2NmUiLCJ1c2VySWQiOiI0NTU2NDk2ODEifQ==</vt:lpwstr>
  </property>
</Properties>
</file>