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Style w:val="10"/>
          <w:rFonts w:hint="eastAsia" w:ascii="方正小标宋_GBK" w:hAnsi="方正小标宋_GBK" w:eastAsia="方正小标宋_GBK" w:cs="方正小标宋_GBK"/>
          <w:b w:val="0"/>
          <w:bCs w:val="0"/>
          <w:sz w:val="36"/>
          <w:szCs w:val="36"/>
        </w:rPr>
      </w:pPr>
      <w:r>
        <w:rPr>
          <w:rStyle w:val="10"/>
          <w:rFonts w:hint="eastAsia" w:ascii="方正小标宋_GBK" w:hAnsi="方正小标宋_GBK" w:eastAsia="方正小标宋_GBK" w:cs="方正小标宋_GBK"/>
          <w:b w:val="0"/>
          <w:bCs w:val="0"/>
          <w:sz w:val="36"/>
          <w:szCs w:val="36"/>
        </w:rPr>
        <w:t>西藏自治区摩托车、电动自行车乘员头盔产品质量</w:t>
      </w:r>
    </w:p>
    <w:p>
      <w:pPr>
        <w:spacing w:line="480" w:lineRule="exact"/>
        <w:jc w:val="center"/>
        <w:rPr>
          <w:rStyle w:val="10"/>
          <w:rFonts w:hint="eastAsia" w:ascii="方正小标宋_GBK" w:hAnsi="方正小标宋_GBK" w:eastAsia="方正小标宋_GBK" w:cs="方正小标宋_GBK"/>
          <w:b w:val="0"/>
          <w:bCs w:val="0"/>
          <w:sz w:val="36"/>
          <w:szCs w:val="36"/>
        </w:rPr>
      </w:pPr>
      <w:r>
        <w:rPr>
          <w:rStyle w:val="10"/>
          <w:rFonts w:hint="eastAsia" w:ascii="方正小标宋_GBK" w:hAnsi="方正小标宋_GBK" w:eastAsia="方正小标宋_GBK" w:cs="方正小标宋_GBK"/>
          <w:b w:val="0"/>
          <w:bCs w:val="0"/>
          <w:sz w:val="36"/>
          <w:szCs w:val="36"/>
        </w:rPr>
        <w:t>监督抽查实施细则(202</w:t>
      </w:r>
      <w:r>
        <w:rPr>
          <w:rStyle w:val="10"/>
          <w:rFonts w:hint="eastAsia" w:ascii="方正小标宋_GBK" w:hAnsi="方正小标宋_GBK" w:eastAsia="方正小标宋_GBK" w:cs="方正小标宋_GBK"/>
          <w:b w:val="0"/>
          <w:bCs w:val="0"/>
          <w:sz w:val="36"/>
          <w:szCs w:val="36"/>
          <w:lang w:val="en-US" w:eastAsia="zh-CN"/>
        </w:rPr>
        <w:t>4</w:t>
      </w:r>
      <w:r>
        <w:rPr>
          <w:rStyle w:val="10"/>
          <w:rFonts w:hint="eastAsia" w:ascii="方正小标宋_GBK" w:hAnsi="方正小标宋_GBK" w:eastAsia="方正小标宋_GBK" w:cs="方正小标宋_GBK"/>
          <w:b w:val="0"/>
          <w:bCs w:val="0"/>
          <w:sz w:val="36"/>
          <w:szCs w:val="36"/>
        </w:rPr>
        <w:t>版)</w:t>
      </w:r>
    </w:p>
    <w:p>
      <w:pPr>
        <w:spacing w:line="440" w:lineRule="exact"/>
        <w:rPr>
          <w:rFonts w:ascii="黑体" w:hAnsi="黑体" w:eastAsia="黑体" w:cs="黑体"/>
        </w:rPr>
      </w:pPr>
    </w:p>
    <w:p>
      <w:pPr>
        <w:spacing w:line="440" w:lineRule="exact"/>
        <w:rPr>
          <w:rFonts w:hint="eastAsia" w:ascii="宋体" w:hAnsi="宋体" w:eastAsia="宋体" w:cs="宋体"/>
          <w:sz w:val="21"/>
          <w:szCs w:val="21"/>
        </w:rPr>
      </w:pPr>
      <w:r>
        <w:rPr>
          <w:rFonts w:hint="eastAsia" w:ascii="宋体" w:hAnsi="宋体" w:eastAsia="宋体" w:cs="宋体"/>
          <w:sz w:val="21"/>
          <w:szCs w:val="21"/>
        </w:rPr>
        <w:t>1  抽样方法</w:t>
      </w:r>
    </w:p>
    <w:p>
      <w:pPr>
        <w:widowControl/>
        <w:tabs>
          <w:tab w:val="center" w:pos="4201"/>
          <w:tab w:val="right" w:leader="dot" w:pos="9298"/>
        </w:tabs>
        <w:autoSpaceDE w:val="0"/>
        <w:autoSpaceDN w:val="0"/>
        <w:spacing w:line="44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以随机抽样的方式在被抽样销售者的待销产品中抽取。</w:t>
      </w:r>
    </w:p>
    <w:p>
      <w:pPr>
        <w:widowControl/>
        <w:tabs>
          <w:tab w:val="center" w:pos="4201"/>
          <w:tab w:val="right" w:leader="dot" w:pos="9298"/>
        </w:tabs>
        <w:autoSpaceDE w:val="0"/>
        <w:autoSpaceDN w:val="0"/>
        <w:spacing w:line="44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随机数一般可使用随机数表等方法</w:t>
      </w:r>
      <w:bookmarkStart w:id="0" w:name="_GoBack"/>
      <w:bookmarkEnd w:id="0"/>
      <w:r>
        <w:rPr>
          <w:rFonts w:hint="eastAsia" w:ascii="宋体" w:hAnsi="宋体" w:eastAsia="宋体" w:cs="宋体"/>
          <w:kern w:val="0"/>
          <w:sz w:val="21"/>
          <w:szCs w:val="21"/>
        </w:rPr>
        <w:t>产生。</w:t>
      </w:r>
    </w:p>
    <w:p>
      <w:pPr>
        <w:widowControl/>
        <w:tabs>
          <w:tab w:val="center" w:pos="4201"/>
          <w:tab w:val="right" w:leader="dot" w:pos="9298"/>
        </w:tabs>
        <w:autoSpaceDE w:val="0"/>
        <w:autoSpaceDN w:val="0"/>
        <w:spacing w:line="44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每批次产品抽取样品</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顶，其中</w:t>
      </w: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顶作为检验样品，</w:t>
      </w: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顶作为备用样品。</w:t>
      </w:r>
    </w:p>
    <w:p>
      <w:pPr>
        <w:widowControl/>
        <w:tabs>
          <w:tab w:val="center" w:pos="4201"/>
          <w:tab w:val="right" w:leader="dot" w:pos="9298"/>
        </w:tabs>
        <w:autoSpaceDE w:val="0"/>
        <w:autoSpaceDN w:val="0"/>
        <w:spacing w:line="440" w:lineRule="exact"/>
        <w:ind w:firstLine="420" w:firstLineChars="200"/>
        <w:rPr>
          <w:rFonts w:hint="eastAsia" w:ascii="宋体" w:hAnsi="宋体" w:eastAsia="宋体" w:cs="宋体"/>
          <w:kern w:val="0"/>
          <w:sz w:val="21"/>
          <w:szCs w:val="21"/>
        </w:rPr>
      </w:pPr>
    </w:p>
    <w:p>
      <w:pPr>
        <w:snapToGrid w:val="0"/>
        <w:spacing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rPr>
        <w:t>2  检验依据</w:t>
      </w:r>
    </w:p>
    <w:p>
      <w:pPr>
        <w:widowControl/>
        <w:spacing w:line="440" w:lineRule="exact"/>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rPr>
        <w:t xml:space="preserve">表1  </w:t>
      </w:r>
      <w:r>
        <w:rPr>
          <w:rFonts w:hint="eastAsia" w:ascii="宋体" w:hAnsi="宋体" w:cs="宋体"/>
          <w:sz w:val="21"/>
          <w:szCs w:val="21"/>
          <w:lang w:val="en-US" w:eastAsia="zh-CN"/>
        </w:rPr>
        <w:t>检验项目</w:t>
      </w:r>
    </w:p>
    <w:tbl>
      <w:tblPr>
        <w:tblStyle w:val="7"/>
        <w:tblW w:w="84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7"/>
        <w:gridCol w:w="1259"/>
        <w:gridCol w:w="2351"/>
        <w:gridCol w:w="3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111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序号</w:t>
            </w:r>
          </w:p>
        </w:tc>
        <w:tc>
          <w:tcPr>
            <w:tcW w:w="3610"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3686"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117"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1</w:t>
            </w:r>
          </w:p>
        </w:tc>
        <w:tc>
          <w:tcPr>
            <w:tcW w:w="1259"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yellow"/>
              </w:rPr>
            </w:pPr>
            <w:r>
              <w:rPr>
                <w:rFonts w:hint="eastAsia" w:ascii="宋体" w:hAnsi="宋体" w:eastAsia="宋体" w:cs="宋体"/>
                <w:sz w:val="21"/>
                <w:szCs w:val="21"/>
                <w:highlight w:val="none"/>
              </w:rPr>
              <w:t>结构</w:t>
            </w:r>
          </w:p>
        </w:tc>
        <w:tc>
          <w:tcPr>
            <w:tcW w:w="2351" w:type="dxa"/>
            <w:noWrap w:val="0"/>
            <w:vAlign w:val="top"/>
          </w:tcPr>
          <w:p>
            <w:pPr>
              <w:keepNext w:val="0"/>
              <w:keepLines w:val="0"/>
              <w:widowControl w:val="0"/>
              <w:suppressLineNumbers w:val="0"/>
              <w:snapToGrid w:val="0"/>
              <w:spacing w:before="0" w:beforeAutospacing="0" w:after="0" w:afterAutospacing="0" w:line="300" w:lineRule="exact"/>
              <w:ind w:left="0" w:leftChars="0" w:right="0" w:rightChars="0"/>
              <w:jc w:val="center"/>
              <w:rPr>
                <w:rFonts w:hint="eastAsia" w:asciiTheme="minorEastAsia" w:hAnsiTheme="minorEastAsia" w:eastAsiaTheme="minorEastAsia" w:cstheme="minorEastAsia"/>
                <w:sz w:val="21"/>
                <w:szCs w:val="21"/>
                <w:highlight w:val="yellow"/>
                <w:lang w:val="en-US" w:eastAsia="zh-CN"/>
              </w:rPr>
            </w:pPr>
            <w:r>
              <w:rPr>
                <w:rFonts w:hint="eastAsia" w:asciiTheme="minorEastAsia" w:hAnsiTheme="minorEastAsia" w:eastAsiaTheme="minorEastAsia" w:cstheme="minorEastAsia"/>
                <w:color w:val="000000"/>
                <w:kern w:val="2"/>
                <w:sz w:val="21"/>
                <w:szCs w:val="21"/>
                <w:lang w:val="en-US" w:eastAsia="zh-CN" w:bidi="ar"/>
              </w:rPr>
              <w:t>壳体</w:t>
            </w:r>
            <w:r>
              <w:rPr>
                <w:rFonts w:hint="eastAsia" w:asciiTheme="minorEastAsia" w:hAnsiTheme="minorEastAsia" w:eastAsiaTheme="minorEastAsia" w:cstheme="minorEastAsia"/>
                <w:color w:val="000000"/>
                <w:kern w:val="2"/>
                <w:sz w:val="21"/>
                <w:szCs w:val="21"/>
                <w:vertAlign w:val="superscript"/>
                <w:lang w:val="en-US" w:eastAsia="zh-CN" w:bidi="ar"/>
              </w:rPr>
              <w:t>a</w:t>
            </w:r>
          </w:p>
        </w:tc>
        <w:tc>
          <w:tcPr>
            <w:tcW w:w="3686" w:type="dxa"/>
            <w:noWrap w:val="0"/>
            <w:vAlign w:val="top"/>
          </w:tcPr>
          <w:p>
            <w:pPr>
              <w:keepNext w:val="0"/>
              <w:keepLines w:val="0"/>
              <w:widowControl w:val="0"/>
              <w:suppressLineNumbers w:val="0"/>
              <w:snapToGrid w:val="0"/>
              <w:spacing w:before="0" w:beforeAutospacing="0" w:after="0" w:afterAutospacing="0" w:line="300" w:lineRule="exact"/>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2"/>
                <w:sz w:val="21"/>
                <w:szCs w:val="21"/>
                <w:lang w:val="en-US" w:eastAsia="zh-CN" w:bidi="ar"/>
              </w:rPr>
              <w:t>GB 811</w:t>
            </w:r>
            <w:r>
              <w:rPr>
                <w:rFonts w:hint="eastAsia" w:asciiTheme="minorEastAsia" w:hAnsiTheme="minorEastAsia" w:eastAsiaTheme="minorEastAsia" w:cstheme="minorEastAsia"/>
                <w:kern w:val="2"/>
                <w:sz w:val="21"/>
                <w:szCs w:val="21"/>
                <w:lang w:val="en-US" w:eastAsia="zh-CN" w:bidi="ar"/>
              </w:rPr>
              <w:t>—</w:t>
            </w:r>
            <w:r>
              <w:rPr>
                <w:rFonts w:hint="eastAsia" w:asciiTheme="minorEastAsia" w:hAnsiTheme="minorEastAsia" w:eastAsiaTheme="minorEastAsia" w:cstheme="minorEastAsia"/>
                <w:color w:val="000000"/>
                <w:kern w:val="2"/>
                <w:sz w:val="21"/>
                <w:szCs w:val="21"/>
                <w:lang w:val="en-US" w:eastAsia="zh-CN" w:bidi="ar"/>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11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p>
        </w:tc>
        <w:tc>
          <w:tcPr>
            <w:tcW w:w="1259"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yellow"/>
              </w:rPr>
            </w:pPr>
          </w:p>
        </w:tc>
        <w:tc>
          <w:tcPr>
            <w:tcW w:w="2351" w:type="dxa"/>
            <w:noWrap w:val="0"/>
            <w:vAlign w:val="top"/>
          </w:tcPr>
          <w:p>
            <w:pPr>
              <w:keepNext w:val="0"/>
              <w:keepLines w:val="0"/>
              <w:widowControl w:val="0"/>
              <w:suppressLineNumbers w:val="0"/>
              <w:snapToGrid w:val="0"/>
              <w:spacing w:before="0" w:beforeAutospacing="0" w:after="0" w:afterAutospacing="0" w:line="300" w:lineRule="exact"/>
              <w:ind w:left="0" w:leftChars="0" w:right="0" w:rightChars="0"/>
              <w:jc w:val="center"/>
              <w:rPr>
                <w:rFonts w:hint="eastAsia" w:asciiTheme="minorEastAsia" w:hAnsiTheme="minorEastAsia" w:eastAsiaTheme="minorEastAsia" w:cstheme="minorEastAsia"/>
                <w:sz w:val="21"/>
                <w:szCs w:val="21"/>
                <w:highlight w:val="yellow"/>
              </w:rPr>
            </w:pPr>
            <w:r>
              <w:rPr>
                <w:rFonts w:hint="eastAsia" w:asciiTheme="minorEastAsia" w:hAnsiTheme="minorEastAsia" w:eastAsiaTheme="minorEastAsia" w:cstheme="minorEastAsia"/>
                <w:color w:val="000000"/>
                <w:kern w:val="2"/>
                <w:sz w:val="21"/>
                <w:szCs w:val="21"/>
                <w:lang w:val="en-US" w:eastAsia="zh-CN" w:bidi="ar"/>
              </w:rPr>
              <w:t>缓冲层</w:t>
            </w:r>
            <w:r>
              <w:rPr>
                <w:rFonts w:hint="eastAsia" w:asciiTheme="minorEastAsia" w:hAnsiTheme="minorEastAsia" w:eastAsiaTheme="minorEastAsia" w:cstheme="minorEastAsia"/>
                <w:color w:val="000000"/>
                <w:kern w:val="2"/>
                <w:sz w:val="21"/>
                <w:szCs w:val="21"/>
                <w:vertAlign w:val="superscript"/>
                <w:lang w:val="en-US" w:eastAsia="zh-CN" w:bidi="ar"/>
              </w:rPr>
              <w:t>b</w:t>
            </w:r>
          </w:p>
        </w:tc>
        <w:tc>
          <w:tcPr>
            <w:tcW w:w="3686" w:type="dxa"/>
            <w:noWrap w:val="0"/>
            <w:vAlign w:val="top"/>
          </w:tcPr>
          <w:p>
            <w:pPr>
              <w:keepNext w:val="0"/>
              <w:keepLines w:val="0"/>
              <w:widowControl w:val="0"/>
              <w:suppressLineNumbers w:val="0"/>
              <w:snapToGrid w:val="0"/>
              <w:spacing w:before="0" w:beforeAutospacing="0" w:after="0" w:afterAutospacing="0" w:line="300" w:lineRule="exact"/>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2"/>
                <w:sz w:val="21"/>
                <w:szCs w:val="21"/>
                <w:lang w:val="en-US" w:eastAsia="zh-CN" w:bidi="ar"/>
              </w:rPr>
              <w:t>GB 811</w:t>
            </w:r>
            <w:r>
              <w:rPr>
                <w:rFonts w:hint="eastAsia" w:asciiTheme="minorEastAsia" w:hAnsiTheme="minorEastAsia" w:eastAsiaTheme="minorEastAsia" w:cstheme="minorEastAsia"/>
                <w:kern w:val="2"/>
                <w:sz w:val="21"/>
                <w:szCs w:val="21"/>
                <w:lang w:val="en-US" w:eastAsia="zh-CN" w:bidi="ar"/>
              </w:rPr>
              <w:t>—</w:t>
            </w:r>
            <w:r>
              <w:rPr>
                <w:rFonts w:hint="eastAsia" w:asciiTheme="minorEastAsia" w:hAnsiTheme="minorEastAsia" w:eastAsiaTheme="minorEastAsia" w:cstheme="minorEastAsia"/>
                <w:color w:val="000000"/>
                <w:kern w:val="2"/>
                <w:sz w:val="21"/>
                <w:szCs w:val="21"/>
                <w:lang w:val="en-US" w:eastAsia="zh-CN" w:bidi="ar"/>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1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p>
        </w:tc>
        <w:tc>
          <w:tcPr>
            <w:tcW w:w="1259"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yellow"/>
              </w:rPr>
            </w:pPr>
          </w:p>
        </w:tc>
        <w:tc>
          <w:tcPr>
            <w:tcW w:w="2351" w:type="dxa"/>
            <w:noWrap w:val="0"/>
            <w:vAlign w:val="top"/>
          </w:tcPr>
          <w:p>
            <w:pPr>
              <w:keepNext w:val="0"/>
              <w:keepLines w:val="0"/>
              <w:widowControl w:val="0"/>
              <w:suppressLineNumbers w:val="0"/>
              <w:snapToGrid w:val="0"/>
              <w:spacing w:before="0" w:beforeAutospacing="0" w:after="0" w:afterAutospacing="0" w:line="300" w:lineRule="exact"/>
              <w:ind w:left="0" w:leftChars="0" w:right="0" w:rightChars="0"/>
              <w:jc w:val="center"/>
              <w:rPr>
                <w:rFonts w:hint="eastAsia" w:asciiTheme="minorEastAsia" w:hAnsiTheme="minorEastAsia" w:eastAsiaTheme="minorEastAsia" w:cstheme="minorEastAsia"/>
                <w:sz w:val="21"/>
                <w:szCs w:val="21"/>
                <w:highlight w:val="yellow"/>
              </w:rPr>
            </w:pPr>
            <w:r>
              <w:rPr>
                <w:rFonts w:hint="eastAsia" w:asciiTheme="minorEastAsia" w:hAnsiTheme="minorEastAsia" w:eastAsiaTheme="minorEastAsia" w:cstheme="minorEastAsia"/>
                <w:color w:val="000000"/>
                <w:kern w:val="2"/>
                <w:sz w:val="21"/>
                <w:szCs w:val="21"/>
                <w:lang w:val="en-US" w:eastAsia="zh-CN" w:bidi="ar"/>
              </w:rPr>
              <w:t>佩戴装置</w:t>
            </w:r>
          </w:p>
        </w:tc>
        <w:tc>
          <w:tcPr>
            <w:tcW w:w="3686" w:type="dxa"/>
            <w:noWrap w:val="0"/>
            <w:vAlign w:val="top"/>
          </w:tcPr>
          <w:p>
            <w:pPr>
              <w:keepNext w:val="0"/>
              <w:keepLines w:val="0"/>
              <w:widowControl w:val="0"/>
              <w:suppressLineNumbers w:val="0"/>
              <w:snapToGrid w:val="0"/>
              <w:spacing w:before="0" w:beforeAutospacing="0" w:after="0" w:afterAutospacing="0" w:line="300" w:lineRule="exact"/>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2"/>
                <w:sz w:val="21"/>
                <w:szCs w:val="21"/>
                <w:lang w:val="en-US" w:eastAsia="zh-CN" w:bidi="ar"/>
              </w:rPr>
              <w:t>GB 811</w:t>
            </w:r>
            <w:r>
              <w:rPr>
                <w:rFonts w:hint="eastAsia" w:asciiTheme="minorEastAsia" w:hAnsiTheme="minorEastAsia" w:eastAsiaTheme="minorEastAsia" w:cstheme="minorEastAsia"/>
                <w:kern w:val="2"/>
                <w:sz w:val="21"/>
                <w:szCs w:val="21"/>
                <w:lang w:val="en-US" w:eastAsia="zh-CN" w:bidi="ar"/>
              </w:rPr>
              <w:t>—</w:t>
            </w:r>
            <w:r>
              <w:rPr>
                <w:rFonts w:hint="eastAsia" w:asciiTheme="minorEastAsia" w:hAnsiTheme="minorEastAsia" w:eastAsiaTheme="minorEastAsia" w:cstheme="minorEastAsia"/>
                <w:color w:val="000000"/>
                <w:kern w:val="2"/>
                <w:sz w:val="21"/>
                <w:szCs w:val="21"/>
                <w:lang w:val="en-US" w:eastAsia="zh-CN" w:bidi="ar"/>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1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2</w:t>
            </w:r>
          </w:p>
        </w:tc>
        <w:tc>
          <w:tcPr>
            <w:tcW w:w="3610"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视野</w:t>
            </w:r>
          </w:p>
        </w:tc>
        <w:tc>
          <w:tcPr>
            <w:tcW w:w="3686"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GB 811-20</w:t>
            </w:r>
            <w:r>
              <w:rPr>
                <w:rFonts w:hint="eastAsia" w:ascii="宋体" w:hAnsi="宋体" w:eastAsia="宋体" w:cs="宋体"/>
                <w:sz w:val="21"/>
                <w:szCs w:val="21"/>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11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3</w:t>
            </w:r>
          </w:p>
        </w:tc>
        <w:tc>
          <w:tcPr>
            <w:tcW w:w="3610"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固定装置稳定性</w:t>
            </w:r>
          </w:p>
        </w:tc>
        <w:tc>
          <w:tcPr>
            <w:tcW w:w="3686"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GB 811-20</w:t>
            </w:r>
            <w:r>
              <w:rPr>
                <w:rFonts w:hint="eastAsia" w:ascii="宋体" w:hAnsi="宋体" w:eastAsia="宋体" w:cs="宋体"/>
                <w:sz w:val="21"/>
                <w:szCs w:val="21"/>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111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4</w:t>
            </w:r>
          </w:p>
        </w:tc>
        <w:tc>
          <w:tcPr>
            <w:tcW w:w="3610"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rPr>
              <w:t>佩戴装置强度</w:t>
            </w:r>
          </w:p>
        </w:tc>
        <w:tc>
          <w:tcPr>
            <w:tcW w:w="3686"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GB 811-20</w:t>
            </w:r>
            <w:r>
              <w:rPr>
                <w:rFonts w:hint="eastAsia" w:ascii="宋体" w:hAnsi="宋体" w:eastAsia="宋体" w:cs="宋体"/>
                <w:sz w:val="21"/>
                <w:szCs w:val="21"/>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11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3610" w:type="dxa"/>
            <w:gridSpan w:val="2"/>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1"/>
                <w:szCs w:val="21"/>
              </w:rPr>
            </w:pPr>
            <w:r>
              <w:rPr>
                <w:rFonts w:hint="eastAsia" w:ascii="宋体" w:hAnsi="宋体" w:eastAsia="宋体" w:cs="宋体"/>
                <w:sz w:val="21"/>
                <w:szCs w:val="21"/>
                <w:lang w:val="en-US" w:eastAsia="zh-CN"/>
              </w:rPr>
              <w:t>吸收碰撞能量</w:t>
            </w:r>
            <w:r>
              <w:rPr>
                <w:rFonts w:hint="default" w:ascii="宋体" w:hAnsi="宋体" w:eastAsia="宋体" w:cs="宋体"/>
                <w:sz w:val="21"/>
                <w:szCs w:val="21"/>
                <w:vertAlign w:val="superscript"/>
                <w:lang w:val="en-US" w:eastAsia="zh-CN"/>
              </w:rPr>
              <w:t>c</w:t>
            </w:r>
          </w:p>
        </w:tc>
        <w:tc>
          <w:tcPr>
            <w:tcW w:w="3686"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GB 811-20</w:t>
            </w:r>
            <w:r>
              <w:rPr>
                <w:rFonts w:hint="eastAsia" w:ascii="宋体" w:hAnsi="宋体" w:eastAsia="宋体" w:cs="宋体"/>
                <w:sz w:val="21"/>
                <w:szCs w:val="21"/>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1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6</w:t>
            </w:r>
          </w:p>
        </w:tc>
        <w:tc>
          <w:tcPr>
            <w:tcW w:w="3610" w:type="dxa"/>
            <w:gridSpan w:val="2"/>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1"/>
                <w:szCs w:val="21"/>
              </w:rPr>
            </w:pPr>
            <w:r>
              <w:rPr>
                <w:rFonts w:hint="eastAsia" w:ascii="宋体" w:hAnsi="宋体" w:eastAsia="宋体" w:cs="宋体"/>
                <w:sz w:val="21"/>
                <w:szCs w:val="21"/>
                <w:lang w:val="en-US" w:eastAsia="zh-CN"/>
              </w:rPr>
              <w:t>耐穿透</w:t>
            </w:r>
            <w:r>
              <w:rPr>
                <w:rFonts w:hint="default" w:ascii="宋体" w:hAnsi="宋体" w:eastAsia="宋体" w:cs="宋体"/>
                <w:sz w:val="21"/>
                <w:szCs w:val="21"/>
                <w:vertAlign w:val="superscript"/>
                <w:lang w:val="en-US" w:eastAsia="zh-CN"/>
              </w:rPr>
              <w:t>c</w:t>
            </w:r>
          </w:p>
        </w:tc>
        <w:tc>
          <w:tcPr>
            <w:tcW w:w="3686"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rPr>
              <w:t>GB 811-20</w:t>
            </w:r>
            <w:r>
              <w:rPr>
                <w:rFonts w:hint="eastAsia" w:ascii="宋体" w:hAnsi="宋体" w:eastAsia="宋体" w:cs="宋体"/>
                <w:sz w:val="21"/>
                <w:szCs w:val="21"/>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13" w:type="dxa"/>
            <w:gridSpan w:val="4"/>
            <w:noWrap w:val="0"/>
            <w:vAlign w:val="center"/>
          </w:tcPr>
          <w:p>
            <w:pPr>
              <w:keepNext w:val="0"/>
              <w:keepLines w:val="0"/>
              <w:widowControl w:val="0"/>
              <w:suppressLineNumbers w:val="0"/>
              <w:snapToGrid w:val="0"/>
              <w:spacing w:before="0" w:beforeAutospacing="0" w:after="0" w:afterAutospacing="0" w:line="300" w:lineRule="exact"/>
              <w:ind w:left="0" w:right="0"/>
              <w:jc w:val="both"/>
              <w:rPr>
                <w:rFonts w:hint="eastAsia" w:asciiTheme="minorEastAsia" w:hAnsiTheme="minorEastAsia" w:eastAsiaTheme="minorEastAsia" w:cstheme="minorEastAsia"/>
                <w:color w:val="000000"/>
                <w:szCs w:val="21"/>
                <w:lang w:val="en-US"/>
              </w:rPr>
            </w:pPr>
            <w:r>
              <w:rPr>
                <w:rFonts w:hint="eastAsia" w:asciiTheme="minorEastAsia" w:hAnsiTheme="minorEastAsia" w:eastAsiaTheme="minorEastAsia" w:cstheme="minorEastAsia"/>
                <w:color w:val="000000"/>
                <w:kern w:val="2"/>
                <w:sz w:val="21"/>
                <w:szCs w:val="21"/>
                <w:lang w:val="en-US" w:eastAsia="zh-CN" w:bidi="ar"/>
              </w:rPr>
              <w:t>注： a 壳体不测5.1.2.2.b），5.1.2.2.d）反光材料只测总面积和左、右、后三个方向可见；</w:t>
            </w:r>
          </w:p>
          <w:p>
            <w:pPr>
              <w:keepNext w:val="0"/>
              <w:keepLines w:val="0"/>
              <w:widowControl w:val="0"/>
              <w:suppressLineNumbers w:val="0"/>
              <w:snapToGrid w:val="0"/>
              <w:spacing w:before="0" w:beforeAutospacing="0" w:after="0" w:afterAutospacing="0" w:line="300" w:lineRule="exact"/>
              <w:ind w:left="0" w:right="0" w:firstLine="525" w:firstLineChars="250"/>
              <w:jc w:val="both"/>
              <w:rPr>
                <w:rFonts w:hint="eastAsia" w:asciiTheme="minorEastAsia" w:hAnsiTheme="minorEastAsia" w:eastAsiaTheme="minorEastAsia" w:cstheme="minorEastAsia"/>
                <w:color w:val="000000"/>
                <w:szCs w:val="21"/>
                <w:lang w:val="en-US"/>
              </w:rPr>
            </w:pPr>
            <w:r>
              <w:rPr>
                <w:rFonts w:hint="eastAsia" w:asciiTheme="minorEastAsia" w:hAnsiTheme="minorEastAsia" w:eastAsiaTheme="minorEastAsia" w:cstheme="minorEastAsia"/>
                <w:color w:val="000000"/>
                <w:kern w:val="2"/>
                <w:sz w:val="21"/>
                <w:szCs w:val="21"/>
                <w:lang w:val="en-US" w:eastAsia="zh-CN" w:bidi="ar"/>
              </w:rPr>
              <w:t>b 缓冲层只测5.1.3 b）；</w:t>
            </w:r>
          </w:p>
          <w:p>
            <w:pPr>
              <w:keepNext w:val="0"/>
              <w:keepLines w:val="0"/>
              <w:widowControl w:val="0"/>
              <w:suppressLineNumbers w:val="0"/>
              <w:snapToGrid w:val="0"/>
              <w:spacing w:before="0" w:beforeAutospacing="0" w:after="0" w:afterAutospacing="0" w:line="300" w:lineRule="exact"/>
              <w:ind w:left="0" w:right="0" w:firstLine="525" w:firstLineChars="250"/>
              <w:jc w:val="both"/>
              <w:rPr>
                <w:rFonts w:hint="eastAsia" w:ascii="宋体" w:hAnsi="宋体" w:eastAsia="宋体" w:cs="宋体"/>
                <w:sz w:val="21"/>
                <w:szCs w:val="21"/>
              </w:rPr>
            </w:pPr>
            <w:r>
              <w:rPr>
                <w:rFonts w:hint="eastAsia" w:asciiTheme="minorEastAsia" w:hAnsiTheme="minorEastAsia" w:eastAsiaTheme="minorEastAsia" w:cstheme="minorEastAsia"/>
                <w:color w:val="000000"/>
                <w:kern w:val="2"/>
                <w:sz w:val="21"/>
                <w:szCs w:val="21"/>
                <w:lang w:val="en-US" w:eastAsia="zh-CN" w:bidi="ar"/>
              </w:rPr>
              <w:t>c 环境前处理采用低温。</w:t>
            </w:r>
          </w:p>
        </w:tc>
      </w:tr>
    </w:tbl>
    <w:p>
      <w:pPr>
        <w:widowControl/>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p>
    <w:p>
      <w:pPr>
        <w:spacing w:line="440" w:lineRule="exact"/>
        <w:ind w:firstLine="420" w:firstLineChars="200"/>
        <w:rPr>
          <w:rFonts w:hint="eastAsia" w:ascii="宋体" w:hAnsi="宋体" w:eastAsia="宋体" w:cs="宋体"/>
          <w:color w:val="000000"/>
          <w:sz w:val="21"/>
          <w:szCs w:val="21"/>
        </w:rPr>
      </w:pPr>
    </w:p>
    <w:p>
      <w:pPr>
        <w:spacing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rPr>
        <w:t>3  判定规则</w:t>
      </w:r>
    </w:p>
    <w:p>
      <w:pPr>
        <w:spacing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rPr>
        <w:t>3.1  依据标准</w:t>
      </w:r>
    </w:p>
    <w:p>
      <w:pPr>
        <w:snapToGrid w:val="0"/>
        <w:spacing w:line="440" w:lineRule="exact"/>
        <w:ind w:firstLine="315" w:firstLineChars="150"/>
        <w:rPr>
          <w:rFonts w:hint="eastAsia" w:ascii="宋体" w:hAnsi="宋体" w:eastAsia="宋体" w:cs="宋体"/>
          <w:color w:val="000000"/>
          <w:sz w:val="21"/>
          <w:szCs w:val="21"/>
          <w:lang w:val="en-US"/>
        </w:rPr>
      </w:pPr>
      <w:r>
        <w:rPr>
          <w:rFonts w:hint="eastAsia" w:ascii="宋体" w:hAnsi="宋体" w:eastAsia="宋体" w:cs="宋体"/>
          <w:sz w:val="21"/>
          <w:szCs w:val="21"/>
        </w:rPr>
        <w:t>GB 811-20</w:t>
      </w:r>
      <w:r>
        <w:rPr>
          <w:rFonts w:hint="eastAsia" w:ascii="宋体" w:hAnsi="宋体" w:eastAsia="宋体" w:cs="宋体"/>
          <w:sz w:val="21"/>
          <w:szCs w:val="21"/>
          <w:lang w:val="en-US" w:eastAsia="zh-CN"/>
        </w:rPr>
        <w:t xml:space="preserve">22 </w:t>
      </w:r>
      <w:r>
        <w:rPr>
          <w:rFonts w:hint="eastAsia" w:ascii="宋体" w:hAnsi="宋体" w:eastAsia="宋体" w:cs="宋体"/>
          <w:color w:val="000000"/>
          <w:sz w:val="21"/>
          <w:szCs w:val="21"/>
        </w:rPr>
        <w:t>摩托车、电动自行车乘员头盔</w:t>
      </w:r>
    </w:p>
    <w:p>
      <w:pPr>
        <w:snapToGrid w:val="0"/>
        <w:spacing w:line="440" w:lineRule="exact"/>
        <w:ind w:firstLine="359" w:firstLineChars="171"/>
        <w:rPr>
          <w:rFonts w:hint="eastAsia" w:ascii="宋体" w:hAnsi="宋体" w:eastAsia="宋体" w:cs="宋体"/>
          <w:sz w:val="21"/>
          <w:szCs w:val="21"/>
        </w:rPr>
      </w:pPr>
      <w:r>
        <w:rPr>
          <w:rFonts w:hint="eastAsia" w:ascii="宋体" w:hAnsi="宋体" w:eastAsia="宋体" w:cs="宋体"/>
          <w:sz w:val="21"/>
          <w:szCs w:val="21"/>
        </w:rPr>
        <w:t>现行有效的企业标准、团体标准、地方标准及产品明示质量要求</w:t>
      </w:r>
    </w:p>
    <w:p>
      <w:pPr>
        <w:spacing w:line="440" w:lineRule="exact"/>
        <w:outlineLvl w:val="0"/>
        <w:rPr>
          <w:rFonts w:hint="eastAsia" w:ascii="宋体" w:hAnsi="宋体" w:eastAsia="宋体" w:cs="宋体"/>
          <w:sz w:val="21"/>
          <w:szCs w:val="21"/>
        </w:rPr>
      </w:pPr>
      <w:r>
        <w:rPr>
          <w:rFonts w:hint="eastAsia" w:ascii="宋体" w:hAnsi="宋体" w:eastAsia="宋体" w:cs="宋体"/>
          <w:sz w:val="21"/>
          <w:szCs w:val="21"/>
        </w:rPr>
        <w:t>3.2  判定原则</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若被检产品明示的质量要求缺少本细则中检验项目依据的强制性标准要求时，应按照强制性标准要求判定。</w:t>
      </w:r>
    </w:p>
    <w:p>
      <w:pPr>
        <w:widowControl/>
        <w:tabs>
          <w:tab w:val="center" w:pos="4201"/>
          <w:tab w:val="right" w:leader="dot" w:pos="9298"/>
        </w:tabs>
        <w:autoSpaceDE w:val="0"/>
        <w:autoSpaceDN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若被检产品明示的质量要求缺少本细则中检验项目依据的推荐性标准要求时，该项目不参与判定，但应在检验报告备注中进行说明。</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2D9AE5-891A-4017-8A74-16D5FCF649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A00002BF" w:usb1="38CF7CFA" w:usb2="00082016" w:usb3="00000000" w:csb0="00040001" w:csb1="00000000"/>
    <w:embedRegular r:id="rId2" w:fontKey="{C3E2184D-26BF-4672-9ACE-BB1626E93A8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4ZTc1NGY4NTI1NTAyYmE1MzY2ZDJjODU1NDlmNzkifQ=="/>
  </w:docVars>
  <w:rsids>
    <w:rsidRoot w:val="00887E92"/>
    <w:rsid w:val="001D434B"/>
    <w:rsid w:val="002F104B"/>
    <w:rsid w:val="003538E8"/>
    <w:rsid w:val="0036009F"/>
    <w:rsid w:val="00396C33"/>
    <w:rsid w:val="0043393E"/>
    <w:rsid w:val="0043594A"/>
    <w:rsid w:val="00437FF1"/>
    <w:rsid w:val="004F7C2B"/>
    <w:rsid w:val="00500251"/>
    <w:rsid w:val="005D70D1"/>
    <w:rsid w:val="006C3E3B"/>
    <w:rsid w:val="007A6070"/>
    <w:rsid w:val="00804A46"/>
    <w:rsid w:val="00885184"/>
    <w:rsid w:val="00887E92"/>
    <w:rsid w:val="008A1385"/>
    <w:rsid w:val="00A7658A"/>
    <w:rsid w:val="00B21C56"/>
    <w:rsid w:val="00B62606"/>
    <w:rsid w:val="00C816DB"/>
    <w:rsid w:val="00CD2B57"/>
    <w:rsid w:val="00D4285E"/>
    <w:rsid w:val="00EA29EC"/>
    <w:rsid w:val="00F047F5"/>
    <w:rsid w:val="00F962A8"/>
    <w:rsid w:val="0689400F"/>
    <w:rsid w:val="07B307F2"/>
    <w:rsid w:val="0B0C382F"/>
    <w:rsid w:val="113F46A0"/>
    <w:rsid w:val="17C27093"/>
    <w:rsid w:val="17D77841"/>
    <w:rsid w:val="1C3E1226"/>
    <w:rsid w:val="1D4A5897"/>
    <w:rsid w:val="2218272A"/>
    <w:rsid w:val="22A0194A"/>
    <w:rsid w:val="26F33281"/>
    <w:rsid w:val="2E9037DF"/>
    <w:rsid w:val="33895014"/>
    <w:rsid w:val="34202983"/>
    <w:rsid w:val="39C90C67"/>
    <w:rsid w:val="3F0E1E59"/>
    <w:rsid w:val="3FE52E19"/>
    <w:rsid w:val="448B7F4A"/>
    <w:rsid w:val="4F1B0EDE"/>
    <w:rsid w:val="5B555D06"/>
    <w:rsid w:val="5B982424"/>
    <w:rsid w:val="5CCC5557"/>
    <w:rsid w:val="5FD413EB"/>
    <w:rsid w:val="64AC05B7"/>
    <w:rsid w:val="6DEF3A91"/>
    <w:rsid w:val="6F6774FE"/>
    <w:rsid w:val="6F772F24"/>
    <w:rsid w:val="73F20B9A"/>
    <w:rsid w:val="7C5C55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0"/>
    <w:autoRedefine/>
    <w:qFormat/>
    <w:uiPriority w:val="0"/>
    <w:pPr>
      <w:keepNext/>
      <w:jc w:val="left"/>
      <w:outlineLvl w:val="1"/>
    </w:pPr>
    <w:rPr>
      <w:b/>
      <w:bCs/>
      <w:sz w:val="24"/>
      <w:szCs w:val="24"/>
    </w:rPr>
  </w:style>
  <w:style w:type="character" w:default="1" w:styleId="8">
    <w:name w:val="Default Paragraph Font"/>
    <w:autoRedefine/>
    <w:unhideWhenUsed/>
    <w:qFormat/>
    <w:uiPriority w:val="1"/>
  </w:style>
  <w:style w:type="table" w:default="1" w:styleId="7">
    <w:name w:val="Normal Table"/>
    <w:autoRedefin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autoRedefine/>
    <w:unhideWhenUsed/>
    <w:qFormat/>
    <w:uiPriority w:val="99"/>
    <w:pPr>
      <w:jc w:val="left"/>
    </w:pPr>
  </w:style>
  <w:style w:type="paragraph" w:styleId="4">
    <w:name w:val="Balloon Text"/>
    <w:basedOn w:val="1"/>
    <w:link w:val="11"/>
    <w:autoRedefine/>
    <w:unhideWhenUsed/>
    <w:qFormat/>
    <w:uiPriority w:val="99"/>
    <w:rPr>
      <w:sz w:val="18"/>
      <w:szCs w:val="18"/>
    </w:r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autoRedefine/>
    <w:unhideWhenUsed/>
    <w:qFormat/>
    <w:uiPriority w:val="99"/>
    <w:rPr>
      <w:sz w:val="21"/>
      <w:szCs w:val="21"/>
    </w:rPr>
  </w:style>
  <w:style w:type="character" w:customStyle="1" w:styleId="10">
    <w:name w:val="标题 2 Char"/>
    <w:link w:val="2"/>
    <w:autoRedefine/>
    <w:qFormat/>
    <w:uiPriority w:val="0"/>
    <w:rPr>
      <w:b/>
      <w:bCs/>
      <w:sz w:val="24"/>
      <w:szCs w:val="24"/>
    </w:rPr>
  </w:style>
  <w:style w:type="character" w:customStyle="1" w:styleId="11">
    <w:name w:val="批注框文本 Char"/>
    <w:link w:val="4"/>
    <w:autoRedefine/>
    <w:semiHidden/>
    <w:qFormat/>
    <w:uiPriority w:val="99"/>
    <w:rPr>
      <w:kern w:val="2"/>
      <w:sz w:val="18"/>
      <w:szCs w:val="18"/>
    </w:rPr>
  </w:style>
  <w:style w:type="character" w:customStyle="1" w:styleId="12">
    <w:name w:val="页脚 Char"/>
    <w:link w:val="5"/>
    <w:autoRedefine/>
    <w:qFormat/>
    <w:uiPriority w:val="99"/>
    <w:rPr>
      <w:sz w:val="18"/>
      <w:szCs w:val="18"/>
    </w:rPr>
  </w:style>
  <w:style w:type="character" w:customStyle="1" w:styleId="13">
    <w:name w:val="页眉 Char"/>
    <w:link w:val="6"/>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131</Words>
  <Characters>753</Characters>
  <Lines>6</Lines>
  <Paragraphs>1</Paragraphs>
  <TotalTime>0</TotalTime>
  <ScaleCrop>false</ScaleCrop>
  <LinksUpToDate>false</LinksUpToDate>
  <CharactersWithSpaces>883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2023-07-20T08:55:00Z</dcterms:created>
  <dc:creator>admin</dc:creator>
  <cp:lastModifiedBy>赵</cp:lastModifiedBy>
  <dcterms:modified xsi:type="dcterms:W3CDTF">2024-04-27T08:31:13Z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15A14D321E024DB7B14BD25286DCBBC2_13</vt:lpwstr>
  </property>
</Properties>
</file>