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default" w:ascii="方正小标宋_GBK" w:hAnsi="方正小标宋_GBK" w:eastAsia="方正小标宋_GBK" w:cs="方正小标宋_GBK"/>
          <w:color w:val="000000"/>
          <w:sz w:val="36"/>
          <w:szCs w:val="36"/>
          <w:lang w:val="en-US" w:eastAsia="zh-CN"/>
        </w:rPr>
      </w:pPr>
      <w:r>
        <w:rPr>
          <w:rFonts w:hint="eastAsia" w:ascii="方正小标宋_GBK" w:hAnsi="方正小标宋_GBK" w:eastAsia="方正小标宋_GBK" w:cs="方正小标宋_GBK"/>
          <w:color w:val="000000"/>
          <w:sz w:val="36"/>
          <w:szCs w:val="36"/>
          <w:lang w:val="en-US" w:eastAsia="zh-CN"/>
        </w:rPr>
        <w:t>西藏自治区</w:t>
      </w:r>
      <w:r>
        <w:rPr>
          <w:rFonts w:hint="default" w:ascii="方正小标宋_GBK" w:hAnsi="方正小标宋_GBK" w:eastAsia="方正小标宋_GBK" w:cs="方正小标宋_GBK"/>
          <w:color w:val="000000"/>
          <w:sz w:val="36"/>
          <w:szCs w:val="36"/>
          <w:lang w:val="en-US" w:eastAsia="zh-CN"/>
        </w:rPr>
        <w:t>给水用聚乙烯(PE)管材产品质量监督抽查实施细则（2024版）</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直管(单根原始长度&gt;5 米)</w:t>
      </w:r>
      <w:r>
        <w:rPr>
          <w:rFonts w:hint="eastAsia" w:ascii="Times New Roman" w:hAnsi="Times New Roman" w:cs="Times New Roman"/>
          <w:szCs w:val="21"/>
          <w:lang w:eastAsia="zh-CN"/>
        </w:rPr>
        <w:t>：</w:t>
      </w:r>
      <w:r>
        <w:rPr>
          <w:rFonts w:hint="default" w:ascii="Times New Roman" w:hAnsi="Times New Roman" w:cs="Times New Roman"/>
          <w:szCs w:val="21"/>
        </w:rPr>
        <w:t>对于非饮用水管材,抽样数量为6根，每根截取5段，每段1米，其中3段作为检验样品，2段作为备用样品;对于饮用水管材，抽样数量为7根，每根截取5段，每段1米，其中3段作为检验样品，2段作为备用样品。</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直管(单根原始长度&lt;5 米)</w:t>
      </w:r>
      <w:r>
        <w:rPr>
          <w:rFonts w:hint="eastAsia" w:ascii="Times New Roman" w:hAnsi="Times New Roman" w:cs="Times New Roman"/>
          <w:szCs w:val="21"/>
          <w:lang w:eastAsia="zh-CN"/>
        </w:rPr>
        <w:t>：</w:t>
      </w:r>
      <w:r>
        <w:rPr>
          <w:rFonts w:hint="default" w:ascii="Times New Roman" w:hAnsi="Times New Roman" w:cs="Times New Roman"/>
          <w:szCs w:val="21"/>
        </w:rPr>
        <w:t>对于非饮用水管材，抽样数量为9根，每根截取4段，每段1米，其中2段作为检验样品，2段作为备用样品;对于饮用水管材，抽样数量为11根，每根截取4段，每段1米，其中2段作为检验样品，2段作为备用样品</w:t>
      </w:r>
    </w:p>
    <w:p>
      <w:pPr>
        <w:adjustRightInd w:val="0"/>
        <w:snapToGrid w:val="0"/>
        <w:spacing w:line="440" w:lineRule="exact"/>
        <w:ind w:firstLine="420" w:firstLineChars="200"/>
        <w:rPr>
          <w:rFonts w:hint="default" w:ascii="Times New Roman" w:hAnsi="Times New Roman" w:cs="Times New Roman"/>
          <w:color w:val="000000"/>
          <w:szCs w:val="21"/>
          <w:lang w:val="en-US"/>
        </w:rPr>
      </w:pPr>
      <w:r>
        <w:rPr>
          <w:rFonts w:hint="default" w:ascii="Times New Roman" w:hAnsi="Times New Roman" w:cs="Times New Roman"/>
          <w:szCs w:val="21"/>
        </w:rPr>
        <w:t>盘管</w:t>
      </w:r>
      <w:r>
        <w:rPr>
          <w:rFonts w:hint="eastAsia" w:ascii="Times New Roman" w:hAnsi="Times New Roman" w:cs="Times New Roman"/>
          <w:szCs w:val="21"/>
          <w:lang w:eastAsia="zh-CN"/>
        </w:rPr>
        <w:t>：</w:t>
      </w:r>
      <w:r>
        <w:rPr>
          <w:rFonts w:hint="default" w:ascii="Times New Roman" w:hAnsi="Times New Roman" w:cs="Times New Roman"/>
          <w:szCs w:val="21"/>
        </w:rPr>
        <w:t>对于非饮用水管材，抽样数量为5盘，每盘截取6段，每段1米，其中4段作为检验样品，2段作为备用样品;对于饮用水管材，抽样数量为5盘，每盘截取7段，每段1米，其中4段作为检验样品，3段作为备用样品。</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adjustRightInd w:val="0"/>
        <w:snapToGrid w:val="0"/>
        <w:spacing w:line="440" w:lineRule="exact"/>
        <w:ind w:firstLine="440" w:firstLineChars="200"/>
        <w:jc w:val="center"/>
        <w:rPr>
          <w:rFonts w:hint="default" w:ascii="Times New Roman" w:hAnsi="Times New Roman" w:eastAsia="宋体" w:cs="Times New Roman"/>
          <w:color w:val="000000"/>
          <w:kern w:val="0"/>
          <w:sz w:val="22"/>
          <w:lang w:val="en-US" w:eastAsia="zh-CN"/>
        </w:rPr>
      </w:pPr>
      <w:bookmarkStart w:id="0" w:name="_Hlk28257335"/>
      <w:r>
        <w:rPr>
          <w:rFonts w:hint="default" w:ascii="Times New Roman" w:hAnsi="Times New Roman" w:eastAsia="宋体" w:cs="Times New Roman"/>
          <w:color w:val="000000"/>
          <w:kern w:val="0"/>
          <w:sz w:val="22"/>
          <w:lang w:eastAsia="zh-CN"/>
        </w:rPr>
        <w:object>
          <v:shape id="_x0000_i1025" o:spt="75" type="#_x0000_t75" style="height:656.25pt;width:543pt;" o:ole="t" filled="f" o:preferrelative="t" stroked="f" coordsize="21600,21600">
            <v:path/>
            <v:fill on="f" focussize="0,0"/>
            <v:stroke on="f"/>
            <v:imagedata r:id="rId8" o:title=""/>
            <o:lock v:ext="edit" aspectratio="t"/>
            <w10:wrap type="none"/>
            <w10:anchorlock/>
          </v:shape>
          <o:OLEObject Type="Embed" ProgID="Word.Document.12" ShapeID="_x0000_i1025" DrawAspect="Content" ObjectID="_1468075725" r:id="rId7">
            <o:LockedField>false</o:LockedField>
          </o:OLEObject>
        </w:object>
      </w:r>
      <w:r>
        <w:rPr>
          <w:rFonts w:hint="default" w:ascii="Times New Roman" w:hAnsi="Times New Roman" w:eastAsia="宋体" w:cs="Times New Roman"/>
          <w:color w:val="000000"/>
          <w:kern w:val="0"/>
          <w:sz w:val="22"/>
          <w:lang w:eastAsia="zh-CN"/>
        </w:rPr>
        <w:t xml:space="preserve">表 1 </w:t>
      </w:r>
      <w:r>
        <w:rPr>
          <w:rFonts w:hint="default" w:ascii="Times New Roman" w:hAnsi="Times New Roman" w:cs="Times New Roman"/>
          <w:color w:val="000000"/>
          <w:szCs w:val="21"/>
          <w:lang w:val="en-US" w:eastAsia="zh-CN"/>
        </w:rPr>
        <w:t>给水用聚乙烯(PE)</w:t>
      </w:r>
      <w:r>
        <w:rPr>
          <w:rFonts w:hint="eastAsia" w:ascii="Times New Roman" w:hAnsi="Times New Roman" w:cs="Times New Roman"/>
          <w:color w:val="000000"/>
          <w:szCs w:val="21"/>
          <w:lang w:val="en-US" w:eastAsia="zh-CN"/>
        </w:rPr>
        <w:t>管材</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616"/>
        <w:gridCol w:w="2468"/>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序号</w:t>
            </w:r>
          </w:p>
        </w:tc>
        <w:tc>
          <w:tcPr>
            <w:tcW w:w="2616"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检验项目</w:t>
            </w:r>
          </w:p>
        </w:tc>
        <w:tc>
          <w:tcPr>
            <w:tcW w:w="2468"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1</w:t>
            </w:r>
          </w:p>
        </w:tc>
        <w:tc>
          <w:tcPr>
            <w:tcW w:w="2616"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卫生性能（铅、镉、高锰酸钾消耗量）</w:t>
            </w:r>
          </w:p>
        </w:tc>
        <w:tc>
          <w:tcPr>
            <w:tcW w:w="2468"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13663.2-2018</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17219-1998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w:t>
            </w:r>
          </w:p>
        </w:tc>
        <w:tc>
          <w:tcPr>
            <w:tcW w:w="2616"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几何尺寸</w:t>
            </w:r>
            <w:r>
              <w:rPr>
                <w:rFonts w:hint="eastAsia" w:ascii="Times New Roman" w:hAnsi="Times New Roman" w:eastAsia="宋体" w:cs="Times New Roman"/>
                <w:kern w:val="2"/>
                <w:sz w:val="21"/>
                <w:szCs w:val="21"/>
                <w:lang w:val="en-US" w:eastAsia="zh-CN" w:bidi="ar-SA"/>
              </w:rPr>
              <w:t>（平均外径、壁厚）</w:t>
            </w:r>
          </w:p>
        </w:tc>
        <w:tc>
          <w:tcPr>
            <w:tcW w:w="2468"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13663.2-2018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8806-2008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4"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3</w:t>
            </w:r>
          </w:p>
        </w:tc>
        <w:tc>
          <w:tcPr>
            <w:tcW w:w="2616"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静液压强度</w:t>
            </w:r>
            <w:r>
              <w:rPr>
                <w:rFonts w:hint="eastAsia" w:ascii="Times New Roman" w:hAnsi="Times New Roman" w:eastAsia="宋体" w:cs="Times New Roman"/>
                <w:kern w:val="2"/>
                <w:sz w:val="21"/>
                <w:szCs w:val="21"/>
                <w:lang w:val="en-US" w:eastAsia="zh-CN" w:bidi="ar-SA"/>
              </w:rPr>
              <w:t>（20℃，100h）</w:t>
            </w:r>
          </w:p>
        </w:tc>
        <w:tc>
          <w:tcPr>
            <w:tcW w:w="2468"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13663.2-2018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6111-20</w:t>
            </w:r>
            <w:r>
              <w:rPr>
                <w:rFonts w:hint="eastAsia" w:ascii="Times New Roman" w:hAnsi="Times New Roman" w:cs="Times New Roman"/>
                <w:kern w:val="2"/>
                <w:sz w:val="21"/>
                <w:szCs w:val="21"/>
                <w:lang w:val="en-US" w:eastAsia="zh-CN" w:bidi="ar-SA"/>
              </w:rPr>
              <w:t>03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w:t>
            </w:r>
          </w:p>
        </w:tc>
        <w:tc>
          <w:tcPr>
            <w:tcW w:w="2616"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氧化诱导时间</w:t>
            </w:r>
          </w:p>
        </w:tc>
        <w:tc>
          <w:tcPr>
            <w:tcW w:w="2468"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13663.2-2018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19466.6-2009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31"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w:t>
            </w:r>
          </w:p>
        </w:tc>
        <w:tc>
          <w:tcPr>
            <w:tcW w:w="2616" w:type="dxa"/>
            <w:vAlign w:val="center"/>
          </w:tcPr>
          <w:p>
            <w:pPr>
              <w:keepNext w:val="0"/>
              <w:keepLines w:val="0"/>
              <w:pageBreakBefore w:val="0"/>
              <w:widowControl/>
              <w:kinsoku w:val="0"/>
              <w:wordWrap/>
              <w:overflowPunct/>
              <w:topLinePunct w:val="0"/>
              <w:autoSpaceDE w:val="0"/>
              <w:autoSpaceDN w:val="0"/>
              <w:bidi w:val="0"/>
              <w:adjustRightInd w:val="0"/>
              <w:snapToGrid w:val="0"/>
              <w:spacing w:before="92"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纵向回缩率</w:t>
            </w:r>
          </w:p>
        </w:tc>
        <w:tc>
          <w:tcPr>
            <w:tcW w:w="2468"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13663.2-2018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6671-2001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6</w:t>
            </w:r>
          </w:p>
        </w:tc>
        <w:tc>
          <w:tcPr>
            <w:tcW w:w="2616"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炭黑含量</w:t>
            </w:r>
          </w:p>
        </w:tc>
        <w:tc>
          <w:tcPr>
            <w:tcW w:w="2468"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13663.2-2018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GB/T13021-1991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7</w:t>
            </w:r>
          </w:p>
        </w:tc>
        <w:tc>
          <w:tcPr>
            <w:tcW w:w="2616"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灰分</w:t>
            </w:r>
          </w:p>
        </w:tc>
        <w:tc>
          <w:tcPr>
            <w:tcW w:w="2468"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13663.2-2018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9345.1-2008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8</w:t>
            </w:r>
          </w:p>
        </w:tc>
        <w:tc>
          <w:tcPr>
            <w:tcW w:w="2616"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断裂伸长率</w:t>
            </w:r>
          </w:p>
        </w:tc>
        <w:tc>
          <w:tcPr>
            <w:tcW w:w="2468"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13663.2-2018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8804.3-2003</w:t>
            </w:r>
          </w:p>
        </w:tc>
      </w:tr>
    </w:tbl>
    <w:p>
      <w:pPr>
        <w:adjustRightInd w:val="0"/>
        <w:snapToGrid w:val="0"/>
        <w:spacing w:line="440" w:lineRule="exact"/>
        <w:ind w:firstLine="440" w:firstLineChars="200"/>
        <w:rPr>
          <w:rFonts w:hint="default" w:ascii="Times New Roman" w:hAnsi="Times New Roman" w:cs="Times New Roman"/>
          <w:color w:val="000000"/>
          <w:kern w:val="0"/>
          <w:sz w:val="22"/>
        </w:rPr>
      </w:pPr>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执行企业标准、团体标准、地方标准的产品，检验项目参照上述内容执行。</w:t>
      </w:r>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依照有关规定或产品适用标准，需要检测的其他项目，可视情况进行调整。</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lang w:val="en-US" w:eastAsia="zh-CN"/>
        </w:rPr>
        <w:t>3</w:t>
      </w:r>
      <w:r>
        <w:rPr>
          <w:rFonts w:hint="default" w:ascii="Times New Roman" w:hAnsi="Times New Roman" w:eastAsia="黑体" w:cs="Times New Roman"/>
          <w:color w:val="000000"/>
          <w:szCs w:val="21"/>
        </w:rPr>
        <w:t>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.1依据标准</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13663.2-2018《</w:t>
      </w:r>
      <w:r>
        <w:rPr>
          <w:rFonts w:hint="default" w:ascii="Times New Roman" w:hAnsi="Times New Roman" w:cs="Times New Roman"/>
          <w:color w:val="000000"/>
          <w:szCs w:val="21"/>
          <w:lang w:val="en-US" w:eastAsia="zh-CN"/>
        </w:rPr>
        <w:t>给水用聚乙烯(PE)管道系统 第2部分</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szCs w:val="21"/>
          <w:lang w:val="en-US" w:eastAsia="zh-CN"/>
        </w:rPr>
        <w:t>管材</w:t>
      </w:r>
      <w:r>
        <w:rPr>
          <w:rFonts w:hint="default" w:ascii="Times New Roman" w:hAnsi="Times New Roman" w:cs="Times New Roman"/>
          <w:color w:val="000000"/>
          <w:szCs w:val="21"/>
        </w:rPr>
        <w:t>》</w:t>
      </w:r>
    </w:p>
    <w:p>
      <w:pPr>
        <w:adjustRightInd w:val="0"/>
        <w:snapToGrid w:val="0"/>
        <w:spacing w:line="440" w:lineRule="exact"/>
        <w:ind w:firstLine="420" w:firstLineChars="200"/>
        <w:rPr>
          <w:rFonts w:hint="default" w:ascii="Times New Roman" w:hAnsi="Times New Roman" w:eastAsia="仿宋_GB2312" w:cs="Times New Roman"/>
          <w:color w:val="000000"/>
          <w:szCs w:val="21"/>
        </w:rPr>
      </w:pPr>
      <w:r>
        <w:rPr>
          <w:rFonts w:hint="default" w:ascii="Times New Roman" w:hAnsi="Times New Roman" w:cs="Times New Roman"/>
          <w:color w:val="000000"/>
          <w:szCs w:val="21"/>
        </w:rPr>
        <w:t>现行有效的企业标准、团体标准、地方标准及产品明示质量要求等。</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.2判定原则</w:t>
      </w:r>
    </w:p>
    <w:p>
      <w:pPr>
        <w:snapToGrid w:val="0"/>
        <w:spacing w:line="440" w:lineRule="exact"/>
        <w:ind w:firstLine="420" w:firstLineChars="200"/>
        <w:rPr>
          <w:rFonts w:hint="eastAsia" w:ascii="宋体" w:hAnsi="宋体" w:eastAsia="宋体" w:cs="宋体"/>
          <w:color w:val="000000"/>
          <w:sz w:val="21"/>
          <w:szCs w:val="21"/>
        </w:rPr>
      </w:pPr>
      <w:bookmarkStart w:id="2" w:name="_GoBack"/>
      <w:bookmarkStart w:id="1" w:name="OLE_LINK1"/>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几何尺寸检验 </w:t>
      </w:r>
      <w:r>
        <w:rPr>
          <w:rFonts w:hint="default" w:ascii="宋体" w:hAnsi="宋体" w:eastAsia="宋体" w:cs="宋体"/>
          <w:color w:val="auto"/>
          <w:sz w:val="21"/>
          <w:szCs w:val="21"/>
          <w:lang w:val="en-US" w:eastAsia="zh-CN"/>
        </w:rPr>
        <w:t xml:space="preserve">5 </w:t>
      </w:r>
      <w:r>
        <w:rPr>
          <w:rFonts w:hint="eastAsia" w:ascii="宋体" w:hAnsi="宋体" w:eastAsia="宋体" w:cs="宋体"/>
          <w:color w:val="auto"/>
          <w:sz w:val="21"/>
          <w:szCs w:val="21"/>
          <w:lang w:val="en-US" w:eastAsia="zh-CN"/>
        </w:rPr>
        <w:t xml:space="preserve">根管材，允许有 </w:t>
      </w:r>
      <w:r>
        <w:rPr>
          <w:rFonts w:hint="default" w:ascii="宋体" w:hAnsi="宋体" w:eastAsia="宋体" w:cs="宋体"/>
          <w:color w:val="auto"/>
          <w:sz w:val="21"/>
          <w:szCs w:val="21"/>
          <w:lang w:val="en-US" w:eastAsia="zh-CN"/>
        </w:rPr>
        <w:t xml:space="preserve">1 </w:t>
      </w:r>
      <w:r>
        <w:rPr>
          <w:rFonts w:hint="eastAsia" w:ascii="宋体" w:hAnsi="宋体" w:eastAsia="宋体" w:cs="宋体"/>
          <w:color w:val="auto"/>
          <w:sz w:val="21"/>
          <w:szCs w:val="21"/>
          <w:lang w:val="en-US" w:eastAsia="zh-CN"/>
        </w:rPr>
        <w:t xml:space="preserve">个试样的测量结果超出标准规定的偏差范围，当某项有 </w:t>
      </w:r>
      <w:r>
        <w:rPr>
          <w:rFonts w:hint="default" w:ascii="宋体" w:hAnsi="宋体" w:eastAsia="宋体" w:cs="宋体"/>
          <w:color w:val="auto"/>
          <w:sz w:val="21"/>
          <w:szCs w:val="21"/>
          <w:lang w:val="en-US" w:eastAsia="zh-CN"/>
        </w:rPr>
        <w:t xml:space="preserve">2 </w:t>
      </w:r>
      <w:r>
        <w:rPr>
          <w:rFonts w:hint="eastAsia" w:ascii="宋体" w:hAnsi="宋体" w:eastAsia="宋体" w:cs="宋体"/>
          <w:color w:val="auto"/>
          <w:sz w:val="21"/>
          <w:szCs w:val="21"/>
          <w:lang w:val="en-US" w:eastAsia="zh-CN"/>
        </w:rPr>
        <w:t>个（含）以上试样不符合要求时，判定该项不合格。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bookmarkEnd w:id="1"/>
    </w:p>
    <w:bookmarkEnd w:id="2"/>
    <w:p>
      <w:pPr>
        <w:rPr>
          <w:rFonts w:hint="default" w:ascii="Times New Roman" w:hAnsi="Times New Roman" w:cs="Times New Roman"/>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E65BF6E-BF07-461C-87D9-2518D562B2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embedRegular r:id="rId2" w:fontKey="{43E89683-E251-4811-9071-D75C6015DF50}"/>
  </w:font>
  <w:font w:name="方正小标宋_GBK">
    <w:panose1 w:val="02000000000000000000"/>
    <w:charset w:val="86"/>
    <w:family w:val="auto"/>
    <w:pitch w:val="default"/>
    <w:sig w:usb0="A00002BF" w:usb1="38CF7CFA" w:usb2="00082016" w:usb3="00000000" w:csb0="00040001" w:csb1="00000000"/>
    <w:embedRegular r:id="rId3" w:fontKey="{56DA8F8A-CAA2-4AA1-B8DF-DF77FE442826}"/>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137F68"/>
    <w:rsid w:val="0028155A"/>
    <w:rsid w:val="00304E23"/>
    <w:rsid w:val="00464D45"/>
    <w:rsid w:val="00721A26"/>
    <w:rsid w:val="0090650E"/>
    <w:rsid w:val="00936E78"/>
    <w:rsid w:val="00AF5CB6"/>
    <w:rsid w:val="00F539F4"/>
    <w:rsid w:val="03DE09D6"/>
    <w:rsid w:val="04EE5010"/>
    <w:rsid w:val="088C7A39"/>
    <w:rsid w:val="12C63264"/>
    <w:rsid w:val="165D4F05"/>
    <w:rsid w:val="18155A97"/>
    <w:rsid w:val="1A322187"/>
    <w:rsid w:val="1B8324D3"/>
    <w:rsid w:val="26E06370"/>
    <w:rsid w:val="2EB40E48"/>
    <w:rsid w:val="35D601CB"/>
    <w:rsid w:val="38192E51"/>
    <w:rsid w:val="39B46A7C"/>
    <w:rsid w:val="3D2D0EEC"/>
    <w:rsid w:val="3D515EC7"/>
    <w:rsid w:val="4B2F5E62"/>
    <w:rsid w:val="50944B11"/>
    <w:rsid w:val="50BE5FC4"/>
    <w:rsid w:val="65C62F5D"/>
    <w:rsid w:val="6DA16ED7"/>
    <w:rsid w:val="6E00238F"/>
    <w:rsid w:val="6F8917F4"/>
    <w:rsid w:val="78DA2B92"/>
    <w:rsid w:val="7DF729A7"/>
    <w:rsid w:val="7E73597C"/>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190</Words>
  <Characters>1089</Characters>
  <Lines>9</Lines>
  <Paragraphs>2</Paragraphs>
  <TotalTime>0</TotalTime>
  <ScaleCrop>false</ScaleCrop>
  <LinksUpToDate>false</LinksUpToDate>
  <CharactersWithSpaces>1277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thinkPAD</cp:lastModifiedBy>
  <dcterms:modified xsi:type="dcterms:W3CDTF">2024-04-24T22:41:24Z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9AEFFD8911B6419382C9F479B7CBD147_13</vt:lpwstr>
  </property>
</Properties>
</file>