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696"/>
        <w:gridCol w:w="2387"/>
        <w:gridCol w:w="1336"/>
        <w:gridCol w:w="1323"/>
        <w:gridCol w:w="1389"/>
        <w:gridCol w:w="1866"/>
        <w:gridCol w:w="136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4464" w:type="dxa"/>
            <w:gridSpan w:val="9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  <w:t>西藏自治区专利代理机构目录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45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696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  <w:t>代理机构名称</w:t>
            </w:r>
          </w:p>
        </w:tc>
        <w:tc>
          <w:tcPr>
            <w:tcW w:w="2387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  <w:t>代理机构地址</w:t>
            </w:r>
          </w:p>
        </w:tc>
        <w:tc>
          <w:tcPr>
            <w:tcW w:w="4048" w:type="dxa"/>
            <w:gridSpan w:val="3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18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  <w:t>联系人信息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</w:pPr>
          </w:p>
        </w:tc>
        <w:tc>
          <w:tcPr>
            <w:tcW w:w="1866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  <w:t>邮箱</w:t>
            </w:r>
          </w:p>
        </w:tc>
        <w:tc>
          <w:tcPr>
            <w:tcW w:w="1361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  <w:t>机构状态</w:t>
            </w:r>
          </w:p>
        </w:tc>
        <w:tc>
          <w:tcPr>
            <w:tcW w:w="1361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  <w:t>分支机构代码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5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2696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2387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33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  <w:t>代理师</w:t>
            </w:r>
          </w:p>
        </w:tc>
        <w:tc>
          <w:tcPr>
            <w:tcW w:w="132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1389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21"/>
                <w:vertAlign w:val="baseline"/>
                <w:lang w:eastAsia="zh-CN"/>
              </w:rPr>
              <w:t>传真</w:t>
            </w:r>
          </w:p>
        </w:tc>
        <w:tc>
          <w:tcPr>
            <w:tcW w:w="1866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4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696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拉萨市嘉宇天运专利代理事务所（特殊普通合伙）</w:t>
            </w:r>
          </w:p>
        </w:tc>
        <w:tc>
          <w:tcPr>
            <w:tcW w:w="2387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西藏自治区拉萨市柳梧新区国际总部城</w:t>
            </w: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1号楼一号</w:t>
            </w:r>
          </w:p>
        </w:tc>
        <w:tc>
          <w:tcPr>
            <w:tcW w:w="133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陈蒋玲、胡燕恒</w:t>
            </w:r>
          </w:p>
        </w:tc>
        <w:tc>
          <w:tcPr>
            <w:tcW w:w="1323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08916466383</w:t>
            </w:r>
          </w:p>
        </w:tc>
        <w:tc>
          <w:tcPr>
            <w:tcW w:w="1389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08916466383</w:t>
            </w:r>
          </w:p>
        </w:tc>
        <w:tc>
          <w:tcPr>
            <w:tcW w:w="1866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mcliuwu@163.com</w:t>
            </w: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正常</w:t>
            </w: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7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69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成都市鼎宏恒业知识产权代理事务所（特殊普通合伙）拉萨分所</w:t>
            </w:r>
          </w:p>
        </w:tc>
        <w:tc>
          <w:tcPr>
            <w:tcW w:w="2387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西藏拉萨市柳梧新区海亮颇章</w:t>
            </w: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19幢106号</w:t>
            </w:r>
          </w:p>
        </w:tc>
        <w:tc>
          <w:tcPr>
            <w:tcW w:w="133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富丽娟</w:t>
            </w:r>
          </w:p>
        </w:tc>
        <w:tc>
          <w:tcPr>
            <w:tcW w:w="1323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18982276372</w:t>
            </w:r>
          </w:p>
        </w:tc>
        <w:tc>
          <w:tcPr>
            <w:tcW w:w="138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02869888080</w:t>
            </w:r>
          </w:p>
        </w:tc>
        <w:tc>
          <w:tcPr>
            <w:tcW w:w="1866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正常</w:t>
            </w: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51248（2）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69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北京睿博行运知识产权代理有限公司西藏分公司</w:t>
            </w:r>
          </w:p>
        </w:tc>
        <w:tc>
          <w:tcPr>
            <w:tcW w:w="2387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西藏自治区拉萨市城关区拉萨饭店生活区</w:t>
            </w: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F栋306</w:t>
            </w:r>
          </w:p>
        </w:tc>
        <w:tc>
          <w:tcPr>
            <w:tcW w:w="133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罗兴舜</w:t>
            </w:r>
          </w:p>
        </w:tc>
        <w:tc>
          <w:tcPr>
            <w:tcW w:w="1323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13549019494</w:t>
            </w:r>
          </w:p>
        </w:tc>
        <w:tc>
          <w:tcPr>
            <w:tcW w:w="138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01086467966</w:t>
            </w:r>
          </w:p>
        </w:tc>
        <w:tc>
          <w:tcPr>
            <w:tcW w:w="1866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正常</w:t>
            </w: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11297（11）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269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泰和泰律师事务所拉萨分所</w:t>
            </w:r>
          </w:p>
        </w:tc>
        <w:tc>
          <w:tcPr>
            <w:tcW w:w="2387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拉萨市柳梧新区察古大道浙商国际</w:t>
            </w: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9栋10楼</w:t>
            </w:r>
          </w:p>
        </w:tc>
        <w:tc>
          <w:tcPr>
            <w:tcW w:w="133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刘梦菲</w:t>
            </w:r>
          </w:p>
        </w:tc>
        <w:tc>
          <w:tcPr>
            <w:tcW w:w="1323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08916307662</w:t>
            </w:r>
          </w:p>
        </w:tc>
        <w:tc>
          <w:tcPr>
            <w:tcW w:w="1389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08916891022</w:t>
            </w:r>
          </w:p>
        </w:tc>
        <w:tc>
          <w:tcPr>
            <w:tcW w:w="1866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正常</w:t>
            </w: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51219（7）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45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2696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国家知识产权局西藏业务受理窗口</w:t>
            </w:r>
          </w:p>
        </w:tc>
        <w:tc>
          <w:tcPr>
            <w:tcW w:w="2387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西藏自治区拉萨市城关区宇拓路28号</w:t>
            </w:r>
          </w:p>
        </w:tc>
        <w:tc>
          <w:tcPr>
            <w:tcW w:w="1336" w:type="dxa"/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323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08916848897</w:t>
            </w:r>
          </w:p>
        </w:tc>
        <w:tc>
          <w:tcPr>
            <w:tcW w:w="1389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08916598253</w:t>
            </w:r>
          </w:p>
        </w:tc>
        <w:tc>
          <w:tcPr>
            <w:tcW w:w="1866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lasa@cnipa.gov.cn</w:t>
            </w: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16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  <w:t>正常</w:t>
            </w:r>
          </w:p>
        </w:tc>
        <w:tc>
          <w:tcPr>
            <w:tcW w:w="136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rPr>
          <w:sz w:val="24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1D7EAB"/>
    <w:rsid w:val="10222C84"/>
    <w:rsid w:val="17376FC4"/>
    <w:rsid w:val="4D9C425E"/>
    <w:rsid w:val="512B0EC9"/>
    <w:rsid w:val="646625F9"/>
    <w:rsid w:val="6B3A2564"/>
    <w:rsid w:val="722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449</Characters>
  <Lines>0</Lines>
  <Paragraphs>0</Paragraphs>
  <TotalTime>64</TotalTime>
  <ScaleCrop>false</ScaleCrop>
  <LinksUpToDate>false</LinksUpToDate>
  <CharactersWithSpaces>449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2022-04-11T02:46:00Z</dcterms:created>
  <dc:creator>Administrator</dc:creator>
  <cp:lastModifiedBy>mg</cp:lastModifiedBy>
  <cp:lastPrinted>2022-04-11T08:27:00Z</cp:lastPrinted>
  <dcterms:modified xsi:type="dcterms:W3CDTF">2022-04-12T04:54:04Z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B944D44AA2AD4D2CA8110F46E69330A3</vt:lpwstr>
  </property>
</Properties>
</file>