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ascii="宋体" w:hAnsi="宋体" w:cs="宋体"/>
          <w:color w:val="000000"/>
          <w:sz w:val="32"/>
          <w:szCs w:val="32"/>
        </w:rPr>
        <w:t>童鞋西藏自治区产品质量监督抽查实施细则</w:t>
      </w:r>
    </w:p>
    <w:p>
      <w:pPr>
        <w:adjustRightInd w:val="0"/>
        <w:snapToGrid w:val="0"/>
        <w:spacing w:line="594" w:lineRule="exact"/>
        <w:jc w:val="right"/>
        <w:rPr>
          <w:rFonts w:hint="default" w:ascii="Calibri" w:hAnsi="Calibri" w:eastAsia="方正小标宋简体" w:cs="Calibri"/>
          <w:color w:val="000000"/>
          <w:sz w:val="28"/>
          <w:szCs w:val="28"/>
        </w:rPr>
      </w:pPr>
      <w:r>
        <w:rPr>
          <w:rFonts w:hint="eastAsia" w:eastAsia="方正小标宋简体" w:cs="方正仿宋简体"/>
          <w:color w:val="000000"/>
          <w:sz w:val="28"/>
          <w:szCs w:val="28"/>
        </w:rPr>
        <w:t xml:space="preserve">                                 </w:t>
      </w:r>
      <w:r>
        <w:rPr>
          <w:rFonts w:hint="default" w:ascii="Calibri" w:hAnsi="Calibri" w:eastAsia="方正小标宋简体" w:cs="Calibri"/>
          <w:color w:val="000000"/>
          <w:sz w:val="28"/>
          <w:szCs w:val="28"/>
        </w:rPr>
        <w:t xml:space="preserve"> 06-XZCCXZ-103.6-2020</w:t>
      </w:r>
    </w:p>
    <w:p>
      <w:pPr>
        <w:adjustRightInd w:val="0"/>
        <w:snapToGrid w:val="0"/>
        <w:spacing w:line="594" w:lineRule="exact"/>
        <w:jc w:val="center"/>
        <w:rPr>
          <w:rFonts w:ascii="Times New Roman" w:hAnsi="Times New Roman" w:eastAsia="方正小标宋简体" w:cs="方正仿宋简体"/>
          <w:color w:val="000000"/>
          <w:sz w:val="32"/>
          <w:szCs w:val="32"/>
        </w:rPr>
      </w:pPr>
      <w:bookmarkStart w:id="0" w:name="_GoBack"/>
      <w:bookmarkEnd w:id="0"/>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随机数一般可使用随机数表等方法产生。</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每批次产品抽取样品3双，其中2双作为检验样品，1双作为备用样品。</w:t>
      </w:r>
    </w:p>
    <w:p>
      <w:pPr>
        <w:tabs>
          <w:tab w:val="left" w:pos="2970"/>
        </w:tabs>
        <w:adjustRightInd w:val="0"/>
        <w:snapToGrid w:val="0"/>
        <w:spacing w:line="440" w:lineRule="exact"/>
        <w:rPr>
          <w:rFonts w:ascii="Times New Roman" w:hAnsi="Times New Roman" w:eastAsia="黑体"/>
          <w:color w:val="000000"/>
        </w:rPr>
      </w:pPr>
      <w:r>
        <w:rPr>
          <w:rFonts w:ascii="Times New Roman" w:hAnsi="Times New Roman" w:eastAsia="黑体"/>
          <w:color w:val="000000"/>
        </w:rPr>
        <w:tab/>
      </w:r>
    </w:p>
    <w:p>
      <w:pPr>
        <w:adjustRightInd w:val="0"/>
        <w:snapToGrid w:val="0"/>
        <w:spacing w:line="440" w:lineRule="exact"/>
        <w:rPr>
          <w:rFonts w:ascii="Times New Roman" w:hAnsi="Times New Roman"/>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p>
      <w:pPr>
        <w:adjustRightInd w:val="0"/>
        <w:snapToGrid w:val="0"/>
        <w:spacing w:beforeLines="50"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1 </w:t>
      </w:r>
      <w:r>
        <w:rPr>
          <w:rFonts w:hint="eastAsia" w:ascii="Times New Roman" w:hAnsi="Times New Roman" w:cs="宋体"/>
        </w:rPr>
        <w:t>儿童旅游鞋</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3818"/>
        <w:gridCol w:w="4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15"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8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40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15"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1</w:t>
            </w:r>
          </w:p>
        </w:tc>
        <w:tc>
          <w:tcPr>
            <w:tcW w:w="208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成鞋耐折性能</w:t>
            </w:r>
          </w:p>
        </w:tc>
        <w:tc>
          <w:tcPr>
            <w:tcW w:w="240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GB/T3903.1-2008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82" w:type="pct"/>
            <w:vAlign w:val="center"/>
          </w:tcPr>
          <w:p>
            <w:pPr>
              <w:adjustRightInd w:val="0"/>
              <w:snapToGrid w:val="0"/>
              <w:jc w:val="center"/>
              <w:rPr>
                <w:rFonts w:ascii="Times New Roman" w:hAnsi="Times New Roman" w:cs="宋体"/>
                <w:color w:val="FF0000"/>
              </w:rPr>
            </w:pPr>
            <w:r>
              <w:rPr>
                <w:rFonts w:hint="eastAsia" w:ascii="Times New Roman" w:hAnsi="Times New Roman" w:cs="宋体"/>
              </w:rPr>
              <w:t>外底耐磨性能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hint="eastAsia" w:ascii="Times New Roman" w:hAnsi="Times New Roman" w:cs="宋体"/>
              </w:rPr>
              <w:t>4</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衬里和内垫耐摩擦色牢度</w:t>
            </w:r>
          </w:p>
        </w:tc>
        <w:tc>
          <w:tcPr>
            <w:tcW w:w="2402" w:type="pct"/>
            <w:vAlign w:val="center"/>
          </w:tcPr>
          <w:p>
            <w:pPr>
              <w:adjustRightInd w:val="0"/>
              <w:snapToGrid w:val="0"/>
              <w:jc w:val="center"/>
              <w:rPr>
                <w:rFonts w:ascii="Times New Roman" w:hAnsi="Times New Roman" w:cs="宋体"/>
              </w:rPr>
            </w:pPr>
            <w:r>
              <w:rPr>
                <w:rFonts w:hint="eastAsia" w:ascii="Times New Roman" w:hAnsi="Times New Roman" w:cs="宋体"/>
              </w:rPr>
              <w:t>QB/T 2882-2007</w:t>
            </w:r>
          </w:p>
          <w:p>
            <w:pPr>
              <w:adjustRightInd w:val="0"/>
              <w:snapToGrid w:val="0"/>
              <w:jc w:val="center"/>
              <w:rPr>
                <w:rFonts w:ascii="Times New Roman" w:hAnsi="Times New Roman" w:cs="宋体"/>
              </w:rPr>
            </w:pPr>
            <w:r>
              <w:rPr>
                <w:rFonts w:hint="eastAsia" w:ascii="Times New Roman" w:hAnsi="Times New Roman" w:cs="宋体"/>
              </w:rPr>
              <w:t>GB/T 251-2008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hint="eastAsia"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hint="eastAsia"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重金属总量（砷、铅、镉）</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hint="eastAsia" w:ascii="Times New Roman" w:hAnsi="Times New Roman" w:cs="宋体"/>
              </w:rPr>
              <w:t>9</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5" w:type="pct"/>
            <w:vAlign w:val="center"/>
          </w:tcPr>
          <w:p>
            <w:pPr>
              <w:adjustRightInd w:val="0"/>
              <w:snapToGrid w:val="0"/>
              <w:jc w:val="center"/>
              <w:rPr>
                <w:rFonts w:ascii="Times New Roman" w:hAnsi="Times New Roman" w:cs="宋体"/>
              </w:rPr>
            </w:pPr>
            <w:r>
              <w:rPr>
                <w:rFonts w:hint="eastAsia" w:ascii="Times New Roman" w:hAnsi="Times New Roman" w:cs="宋体"/>
              </w:rPr>
              <w:t>10</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标识</w:t>
            </w:r>
          </w:p>
        </w:tc>
        <w:tc>
          <w:tcPr>
            <w:tcW w:w="2402" w:type="pct"/>
            <w:vAlign w:val="center"/>
          </w:tcPr>
          <w:p>
            <w:pPr>
              <w:adjustRightInd w:val="0"/>
              <w:snapToGrid w:val="0"/>
              <w:jc w:val="center"/>
              <w:rPr>
                <w:rFonts w:ascii="Times New Roman" w:hAnsi="Times New Roman" w:cs="宋体"/>
              </w:rPr>
            </w:pPr>
            <w:r>
              <w:rPr>
                <w:rFonts w:hint="eastAsia" w:ascii="Times New Roman" w:hAnsi="Times New Roman" w:cs="宋体"/>
              </w:rPr>
              <w:t>QB/T 2673-2013</w:t>
            </w:r>
          </w:p>
        </w:tc>
      </w:tr>
    </w:tbl>
    <w:p>
      <w:pPr>
        <w:adjustRightInd w:val="0"/>
        <w:snapToGrid w:val="0"/>
        <w:spacing w:line="440" w:lineRule="exact"/>
        <w:jc w:val="center"/>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2 </w:t>
      </w:r>
      <w:r>
        <w:rPr>
          <w:rFonts w:hint="eastAsia" w:ascii="Times New Roman" w:hAnsi="Times New Roman" w:cs="宋体"/>
        </w:rPr>
        <w:t>儿童皮鞋</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3817"/>
        <w:gridCol w:w="4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序号</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检验项目</w:t>
            </w:r>
          </w:p>
        </w:tc>
        <w:tc>
          <w:tcPr>
            <w:tcW w:w="2404"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1</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耐磨性能</w:t>
            </w:r>
          </w:p>
        </w:tc>
        <w:tc>
          <w:tcPr>
            <w:tcW w:w="2404"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2</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外底硬度</w:t>
            </w:r>
          </w:p>
        </w:tc>
        <w:tc>
          <w:tcPr>
            <w:tcW w:w="2404"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3</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衬里和内垫摩擦色牢度</w:t>
            </w:r>
          </w:p>
        </w:tc>
        <w:tc>
          <w:tcPr>
            <w:tcW w:w="2404"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QB/T 2008-2016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4</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钢勾心硬度</w:t>
            </w:r>
          </w:p>
        </w:tc>
        <w:tc>
          <w:tcPr>
            <w:tcW w:w="2404"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5</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皮革和毛皮中的六价铬</w:t>
            </w:r>
          </w:p>
        </w:tc>
        <w:tc>
          <w:tcPr>
            <w:tcW w:w="2404"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6</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可分解有害芳香胺染料</w:t>
            </w:r>
          </w:p>
        </w:tc>
        <w:tc>
          <w:tcPr>
            <w:tcW w:w="2404"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hint="eastAsia"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7</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甲醛</w:t>
            </w:r>
          </w:p>
        </w:tc>
        <w:tc>
          <w:tcPr>
            <w:tcW w:w="2404"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hint="eastAsia"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8</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重金属总量（砷、铅、镉）</w:t>
            </w:r>
          </w:p>
        </w:tc>
        <w:tc>
          <w:tcPr>
            <w:tcW w:w="2404"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9</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邻苯二甲酸酯</w:t>
            </w:r>
          </w:p>
        </w:tc>
        <w:tc>
          <w:tcPr>
            <w:tcW w:w="2404" w:type="pct"/>
            <w:vAlign w:val="center"/>
          </w:tcPr>
          <w:p>
            <w:pPr>
              <w:adjustRightInd w:val="0"/>
              <w:snapToGrid w:val="0"/>
              <w:spacing w:line="360" w:lineRule="exact"/>
              <w:jc w:val="center"/>
              <w:rPr>
                <w:rFonts w:ascii="Times New Roman" w:hAnsi="Times New Roman" w:cs="宋体"/>
              </w:rPr>
            </w:pPr>
            <w:r>
              <w:rPr>
                <w:rFonts w:ascii="Times New Roman" w:hAnsi="Times New Roman" w:cs="宋体"/>
              </w:rPr>
              <w:t>ISO/TS 16181:2011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3"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10</w:t>
            </w:r>
          </w:p>
        </w:tc>
        <w:tc>
          <w:tcPr>
            <w:tcW w:w="2081"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标识</w:t>
            </w:r>
          </w:p>
        </w:tc>
        <w:tc>
          <w:tcPr>
            <w:tcW w:w="2404" w:type="pct"/>
            <w:vAlign w:val="center"/>
          </w:tcPr>
          <w:p>
            <w:pPr>
              <w:adjustRightInd w:val="0"/>
              <w:snapToGrid w:val="0"/>
              <w:spacing w:line="360" w:lineRule="exact"/>
              <w:jc w:val="center"/>
              <w:rPr>
                <w:rFonts w:ascii="Times New Roman" w:hAnsi="Times New Roman" w:cs="宋体"/>
              </w:rPr>
            </w:pPr>
            <w:r>
              <w:rPr>
                <w:rFonts w:hint="eastAsia" w:ascii="Times New Roman" w:hAnsi="Times New Roman" w:cs="宋体"/>
              </w:rPr>
              <w:t>QB/T 2673-2013</w:t>
            </w:r>
          </w:p>
        </w:tc>
      </w:tr>
    </w:tbl>
    <w:p>
      <w:pPr>
        <w:adjustRightInd w:val="0"/>
        <w:snapToGrid w:val="0"/>
        <w:spacing w:line="440" w:lineRule="exact"/>
        <w:jc w:val="center"/>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3 </w:t>
      </w:r>
      <w:r>
        <w:rPr>
          <w:rFonts w:hint="eastAsia" w:ascii="Times New Roman" w:hAnsi="Times New Roman" w:cs="宋体"/>
        </w:rPr>
        <w:t>儿童皮凉鞋</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3795"/>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1"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9"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8"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1"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1</w:t>
            </w:r>
          </w:p>
        </w:tc>
        <w:tc>
          <w:tcPr>
            <w:tcW w:w="2069"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耐折性能</w:t>
            </w:r>
          </w:p>
        </w:tc>
        <w:tc>
          <w:tcPr>
            <w:tcW w:w="2398"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2</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4</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钢勾心硬度</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5</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衬里和内垫摩擦色牢度</w:t>
            </w:r>
          </w:p>
        </w:tc>
        <w:tc>
          <w:tcPr>
            <w:tcW w:w="2398" w:type="pct"/>
            <w:vAlign w:val="center"/>
          </w:tcPr>
          <w:p>
            <w:pPr>
              <w:adjustRightInd w:val="0"/>
              <w:snapToGrid w:val="0"/>
              <w:jc w:val="center"/>
              <w:rPr>
                <w:rFonts w:ascii="Times New Roman" w:hAnsi="Times New Roman" w:cs="宋体"/>
              </w:rPr>
            </w:pPr>
            <w:r>
              <w:rPr>
                <w:rFonts w:hint="eastAsia" w:ascii="Times New Roman" w:hAnsi="Times New Roman" w:cs="宋体"/>
              </w:rPr>
              <w:t>QB/T 2882-2007方法A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6</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7</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hint="eastAsia"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8</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hint="eastAsia"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9</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重金属总量（砷、铅、镉）</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10</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11</w:t>
            </w:r>
          </w:p>
        </w:tc>
        <w:tc>
          <w:tcPr>
            <w:tcW w:w="2069" w:type="pct"/>
            <w:vAlign w:val="center"/>
          </w:tcPr>
          <w:p>
            <w:pPr>
              <w:adjustRightInd w:val="0"/>
              <w:snapToGrid w:val="0"/>
              <w:jc w:val="center"/>
              <w:rPr>
                <w:rFonts w:ascii="Times New Roman" w:hAnsi="Times New Roman" w:cs="宋体"/>
              </w:rPr>
            </w:pPr>
            <w:r>
              <w:rPr>
                <w:rFonts w:hint="eastAsia" w:ascii="Times New Roman" w:hAnsi="Times New Roman" w:cs="宋体"/>
              </w:rPr>
              <w:t>标识</w:t>
            </w:r>
          </w:p>
        </w:tc>
        <w:tc>
          <w:tcPr>
            <w:tcW w:w="2398" w:type="pct"/>
            <w:vAlign w:val="center"/>
          </w:tcPr>
          <w:p>
            <w:pPr>
              <w:adjustRightInd w:val="0"/>
              <w:snapToGrid w:val="0"/>
              <w:jc w:val="center"/>
              <w:rPr>
                <w:rFonts w:ascii="Times New Roman" w:hAnsi="Times New Roman" w:cs="宋体"/>
              </w:rPr>
            </w:pPr>
            <w:r>
              <w:rPr>
                <w:rFonts w:hint="eastAsia" w:ascii="Times New Roman" w:hAnsi="Times New Roman" w:cs="宋体"/>
              </w:rPr>
              <w:t>QB/T 2673-2013</w:t>
            </w:r>
          </w:p>
        </w:tc>
      </w:tr>
    </w:tbl>
    <w:p>
      <w:pPr>
        <w:adjustRightInd w:val="0"/>
        <w:snapToGrid w:val="0"/>
        <w:spacing w:line="440" w:lineRule="exact"/>
        <w:jc w:val="center"/>
        <w:rPr>
          <w:rFonts w:ascii="Times New Roman" w:hAnsi="Times New Roman" w:cs="宋体"/>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4 </w:t>
      </w:r>
      <w:r>
        <w:rPr>
          <w:rFonts w:hint="eastAsia" w:ascii="Times New Roman" w:hAnsi="Times New Roman" w:cs="宋体"/>
        </w:rPr>
        <w:t>布面童胶鞋</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3796"/>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1"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70"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8"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1</w:t>
            </w:r>
          </w:p>
        </w:tc>
        <w:tc>
          <w:tcPr>
            <w:tcW w:w="2070" w:type="pct"/>
            <w:vAlign w:val="center"/>
          </w:tcPr>
          <w:p>
            <w:pPr>
              <w:adjustRightInd w:val="0"/>
              <w:snapToGrid w:val="0"/>
              <w:jc w:val="center"/>
              <w:rPr>
                <w:rFonts w:ascii="Times New Roman" w:hAnsi="Times New Roman" w:cs="宋体"/>
              </w:rPr>
            </w:pPr>
            <w:r>
              <w:rPr>
                <w:rFonts w:hint="eastAsia" w:ascii="Times New Roman" w:hAnsi="Times New Roman" w:cs="宋体"/>
              </w:rPr>
              <w:t>游离甲醛</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2</w:t>
            </w:r>
          </w:p>
        </w:tc>
        <w:tc>
          <w:tcPr>
            <w:tcW w:w="2070"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tabs>
                <w:tab w:val="left" w:pos="367"/>
              </w:tabs>
              <w:adjustRightInd w:val="0"/>
              <w:snapToGrid w:val="0"/>
              <w:jc w:val="center"/>
              <w:rPr>
                <w:rFonts w:ascii="Times New Roman" w:hAnsi="Times New Roman" w:cs="宋体"/>
              </w:rPr>
            </w:pPr>
            <w:r>
              <w:rPr>
                <w:rFonts w:hint="eastAsia" w:ascii="Times New Roman" w:hAnsi="Times New Roman" w:cs="宋体"/>
              </w:rPr>
              <w:t>3</w:t>
            </w:r>
          </w:p>
        </w:tc>
        <w:tc>
          <w:tcPr>
            <w:tcW w:w="2070" w:type="pct"/>
            <w:vAlign w:val="center"/>
          </w:tcPr>
          <w:p>
            <w:pPr>
              <w:adjustRightInd w:val="0"/>
              <w:snapToGrid w:val="0"/>
              <w:jc w:val="center"/>
              <w:rPr>
                <w:rFonts w:ascii="Times New Roman" w:hAnsi="Times New Roman" w:cs="宋体"/>
              </w:rPr>
            </w:pPr>
            <w:r>
              <w:rPr>
                <w:rFonts w:hint="eastAsia" w:ascii="Times New Roman" w:hAnsi="Times New Roman" w:cs="宋体"/>
              </w:rPr>
              <w:t>鞋里和内底摩擦色牢度</w:t>
            </w:r>
          </w:p>
        </w:tc>
        <w:tc>
          <w:tcPr>
            <w:tcW w:w="2398" w:type="pct"/>
            <w:vAlign w:val="center"/>
          </w:tcPr>
          <w:p>
            <w:pPr>
              <w:adjustRightInd w:val="0"/>
              <w:snapToGrid w:val="0"/>
              <w:jc w:val="center"/>
              <w:rPr>
                <w:rFonts w:ascii="Times New Roman" w:hAnsi="Times New Roman" w:cs="宋体"/>
              </w:rPr>
            </w:pPr>
            <w:r>
              <w:rPr>
                <w:rFonts w:hint="eastAsia" w:ascii="Times New Roman" w:hAnsi="Times New Roman" w:cs="宋体"/>
              </w:rPr>
              <w:t>QB/T 2882-2007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4</w:t>
            </w:r>
          </w:p>
        </w:tc>
        <w:tc>
          <w:tcPr>
            <w:tcW w:w="2070"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8" w:type="pct"/>
            <w:vAlign w:val="center"/>
          </w:tcPr>
          <w:p>
            <w:pPr>
              <w:adjustRightInd w:val="0"/>
              <w:snapToGrid w:val="0"/>
              <w:jc w:val="center"/>
              <w:rPr>
                <w:rFonts w:ascii="Times New Roman" w:hAnsi="Times New Roman" w:cs="宋体"/>
              </w:rPr>
            </w:pPr>
            <w:r>
              <w:rPr>
                <w:rFonts w:ascii="Times New Roman" w:hAnsi="Times New Roman" w:cs="宋体"/>
              </w:rPr>
              <w:t>GB/T 531-1999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1" w:type="pct"/>
            <w:vAlign w:val="center"/>
          </w:tcPr>
          <w:p>
            <w:pPr>
              <w:adjustRightInd w:val="0"/>
              <w:snapToGrid w:val="0"/>
              <w:jc w:val="center"/>
              <w:rPr>
                <w:rFonts w:ascii="Times New Roman" w:hAnsi="Times New Roman" w:cs="宋体"/>
              </w:rPr>
            </w:pPr>
            <w:r>
              <w:rPr>
                <w:rFonts w:hint="eastAsia" w:ascii="Times New Roman" w:hAnsi="Times New Roman" w:cs="宋体"/>
              </w:rPr>
              <w:t>5</w:t>
            </w:r>
          </w:p>
        </w:tc>
        <w:tc>
          <w:tcPr>
            <w:tcW w:w="2070" w:type="pct"/>
            <w:vAlign w:val="center"/>
          </w:tcPr>
          <w:p>
            <w:pPr>
              <w:adjustRightInd w:val="0"/>
              <w:snapToGrid w:val="0"/>
              <w:jc w:val="center"/>
              <w:rPr>
                <w:rFonts w:ascii="Times New Roman" w:hAnsi="Times New Roman" w:cs="宋体"/>
              </w:rPr>
            </w:pPr>
            <w:r>
              <w:rPr>
                <w:rFonts w:hint="eastAsia" w:ascii="Times New Roman" w:hAnsi="Times New Roman" w:cs="宋体"/>
              </w:rPr>
              <w:t>可萃取的重金属（砷、铅、镉）</w:t>
            </w:r>
          </w:p>
        </w:tc>
        <w:tc>
          <w:tcPr>
            <w:tcW w:w="2398" w:type="pct"/>
            <w:vAlign w:val="center"/>
          </w:tcPr>
          <w:p>
            <w:pPr>
              <w:adjustRightInd w:val="0"/>
              <w:snapToGrid w:val="0"/>
              <w:jc w:val="center"/>
              <w:rPr>
                <w:rFonts w:ascii="Times New Roman" w:hAnsi="Times New Roman" w:cs="宋体"/>
              </w:rPr>
            </w:pPr>
            <w:r>
              <w:rPr>
                <w:rFonts w:hint="eastAsia" w:ascii="Times New Roman" w:hAnsi="Times New Roman" w:cs="宋体"/>
              </w:rPr>
              <w:t>GB/T 17593.1-2006</w:t>
            </w:r>
          </w:p>
          <w:p>
            <w:pPr>
              <w:adjustRightInd w:val="0"/>
              <w:snapToGrid w:val="0"/>
              <w:jc w:val="center"/>
              <w:rPr>
                <w:rFonts w:ascii="Times New Roman" w:hAnsi="Times New Roman" w:cs="宋体"/>
              </w:rPr>
            </w:pPr>
            <w:r>
              <w:rPr>
                <w:rFonts w:hint="eastAsia" w:ascii="Times New Roman" w:hAnsi="Times New Roman" w:cs="宋体"/>
              </w:rPr>
              <w:t>GB/T 17593.4-2006</w:t>
            </w:r>
          </w:p>
          <w:p>
            <w:pPr>
              <w:adjustRightInd w:val="0"/>
              <w:snapToGrid w:val="0"/>
              <w:jc w:val="center"/>
              <w:rPr>
                <w:rFonts w:ascii="Times New Roman" w:hAnsi="Times New Roman" w:cs="宋体"/>
              </w:rPr>
            </w:pPr>
            <w:r>
              <w:rPr>
                <w:rFonts w:hint="eastAsia" w:ascii="Times New Roman" w:hAnsi="Times New Roman" w:cs="宋体"/>
              </w:rPr>
              <w:t>GB/T 17593.2-2006</w:t>
            </w:r>
          </w:p>
        </w:tc>
      </w:tr>
    </w:tbl>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s="黑体"/>
          <w:color w:val="000000"/>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GB 30585-2014</w:t>
      </w:r>
      <w:r>
        <w:rPr>
          <w:rFonts w:hint="eastAsia" w:ascii="Times New Roman" w:hAnsi="Times New Roman" w:cs="宋体"/>
          <w:color w:val="000000"/>
        </w:rPr>
        <w:t>儿童鞋安全技术规范</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 xml:space="preserve">GB 25036-2010 </w:t>
      </w:r>
      <w:r>
        <w:rPr>
          <w:rFonts w:hint="eastAsia" w:ascii="Times New Roman" w:hAnsi="Times New Roman" w:cs="宋体"/>
          <w:color w:val="000000"/>
        </w:rPr>
        <w:t>布面童胶鞋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4331-2012</w:t>
      </w:r>
      <w:r>
        <w:rPr>
          <w:rFonts w:hint="eastAsia" w:ascii="Times New Roman" w:hAnsi="Times New Roman" w:cs="宋体"/>
          <w:color w:val="000000"/>
        </w:rPr>
        <w:t>儿童旅游鞋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2880-2016</w:t>
      </w:r>
      <w:r>
        <w:rPr>
          <w:rFonts w:hint="eastAsia" w:ascii="Times New Roman" w:hAnsi="Times New Roman" w:cs="宋体"/>
          <w:color w:val="000000"/>
        </w:rPr>
        <w:t>儿童皮鞋</w:t>
      </w:r>
    </w:p>
    <w:p>
      <w:pPr>
        <w:adjustRightInd w:val="0"/>
        <w:snapToGrid w:val="0"/>
        <w:spacing w:line="440" w:lineRule="exact"/>
        <w:ind w:firstLine="359" w:firstLineChars="171"/>
        <w:rPr>
          <w:rFonts w:ascii="Times New Roman" w:hAnsi="Times New Roman" w:cs="宋体"/>
          <w:color w:val="000000"/>
        </w:rPr>
      </w:pPr>
      <w:r>
        <w:rPr>
          <w:rFonts w:ascii="Times New Roman" w:hAnsi="Times New Roman" w:cs="宋体"/>
          <w:color w:val="000000"/>
        </w:rPr>
        <w:t>QB/T 4546-2013</w:t>
      </w:r>
      <w:r>
        <w:rPr>
          <w:rFonts w:hint="eastAsia" w:ascii="Times New Roman" w:hAnsi="Times New Roman" w:cs="宋体"/>
          <w:color w:val="000000"/>
        </w:rPr>
        <w:t>儿童皮凉鞋</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GB/T 28011-2011 鞋类钢勾心</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若被检产品明示的质量要求缺少本细则中检验项目依据的推荐性标准要求时，该项目不参与判定。</w:t>
      </w: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5405B"/>
    <w:rsid w:val="000072CC"/>
    <w:rsid w:val="0002043B"/>
    <w:rsid w:val="00026506"/>
    <w:rsid w:val="00077990"/>
    <w:rsid w:val="000A2F7A"/>
    <w:rsid w:val="000A5587"/>
    <w:rsid w:val="000F5A98"/>
    <w:rsid w:val="00103172"/>
    <w:rsid w:val="001233E8"/>
    <w:rsid w:val="0012758A"/>
    <w:rsid w:val="00133CF7"/>
    <w:rsid w:val="00156FFE"/>
    <w:rsid w:val="001B54E5"/>
    <w:rsid w:val="001C45A3"/>
    <w:rsid w:val="002F7E59"/>
    <w:rsid w:val="00363AD5"/>
    <w:rsid w:val="004031D7"/>
    <w:rsid w:val="004375FD"/>
    <w:rsid w:val="00437974"/>
    <w:rsid w:val="004465D6"/>
    <w:rsid w:val="00462456"/>
    <w:rsid w:val="00487378"/>
    <w:rsid w:val="004A75EE"/>
    <w:rsid w:val="004B5F9D"/>
    <w:rsid w:val="004D5D4E"/>
    <w:rsid w:val="004F0585"/>
    <w:rsid w:val="004F1A7A"/>
    <w:rsid w:val="0050716C"/>
    <w:rsid w:val="00513EC4"/>
    <w:rsid w:val="0054269A"/>
    <w:rsid w:val="0057124C"/>
    <w:rsid w:val="006373D1"/>
    <w:rsid w:val="0064413B"/>
    <w:rsid w:val="00646F8C"/>
    <w:rsid w:val="00647A4F"/>
    <w:rsid w:val="00647F58"/>
    <w:rsid w:val="00661D48"/>
    <w:rsid w:val="00684DFA"/>
    <w:rsid w:val="006852A4"/>
    <w:rsid w:val="006A05FA"/>
    <w:rsid w:val="006C3505"/>
    <w:rsid w:val="006D1BD5"/>
    <w:rsid w:val="006E0C0B"/>
    <w:rsid w:val="00704466"/>
    <w:rsid w:val="007A6ABF"/>
    <w:rsid w:val="007B7635"/>
    <w:rsid w:val="0084180E"/>
    <w:rsid w:val="00850761"/>
    <w:rsid w:val="008700CA"/>
    <w:rsid w:val="00871D2E"/>
    <w:rsid w:val="00873F13"/>
    <w:rsid w:val="008846B4"/>
    <w:rsid w:val="008918B9"/>
    <w:rsid w:val="00894707"/>
    <w:rsid w:val="008C3204"/>
    <w:rsid w:val="008F6B06"/>
    <w:rsid w:val="00905937"/>
    <w:rsid w:val="00932D7B"/>
    <w:rsid w:val="00952820"/>
    <w:rsid w:val="009A3860"/>
    <w:rsid w:val="009D6100"/>
    <w:rsid w:val="00A12277"/>
    <w:rsid w:val="00AA4D2B"/>
    <w:rsid w:val="00AE2BAD"/>
    <w:rsid w:val="00AE44AD"/>
    <w:rsid w:val="00AF53A0"/>
    <w:rsid w:val="00B23BC1"/>
    <w:rsid w:val="00BC32C0"/>
    <w:rsid w:val="00BC4295"/>
    <w:rsid w:val="00BD14F0"/>
    <w:rsid w:val="00BE2A30"/>
    <w:rsid w:val="00C10139"/>
    <w:rsid w:val="00C40F57"/>
    <w:rsid w:val="00C45860"/>
    <w:rsid w:val="00C51417"/>
    <w:rsid w:val="00CA1F33"/>
    <w:rsid w:val="00CC797E"/>
    <w:rsid w:val="00CE67F6"/>
    <w:rsid w:val="00CE754F"/>
    <w:rsid w:val="00D05DF5"/>
    <w:rsid w:val="00D5405B"/>
    <w:rsid w:val="00D80E58"/>
    <w:rsid w:val="00DB056C"/>
    <w:rsid w:val="00DE3740"/>
    <w:rsid w:val="00DE478D"/>
    <w:rsid w:val="00DE50BD"/>
    <w:rsid w:val="00E21DE6"/>
    <w:rsid w:val="00E3273C"/>
    <w:rsid w:val="00E67210"/>
    <w:rsid w:val="00EE5CAD"/>
    <w:rsid w:val="00EF2C5F"/>
    <w:rsid w:val="00EF5C1A"/>
    <w:rsid w:val="00F37CDF"/>
    <w:rsid w:val="00F50DA1"/>
    <w:rsid w:val="00F776C2"/>
    <w:rsid w:val="00F85F57"/>
    <w:rsid w:val="00FC5FE3"/>
    <w:rsid w:val="00FE440A"/>
    <w:rsid w:val="00FF67B1"/>
    <w:rsid w:val="0A0707D1"/>
    <w:rsid w:val="1AF92F65"/>
    <w:rsid w:val="1C620426"/>
    <w:rsid w:val="1F4B1773"/>
    <w:rsid w:val="2A2E52DB"/>
    <w:rsid w:val="2E2F49AB"/>
    <w:rsid w:val="34E34BD2"/>
    <w:rsid w:val="35F65798"/>
    <w:rsid w:val="3AFB52A6"/>
    <w:rsid w:val="40D2476E"/>
    <w:rsid w:val="434D17CD"/>
    <w:rsid w:val="47154AA7"/>
    <w:rsid w:val="48040E6D"/>
    <w:rsid w:val="48121517"/>
    <w:rsid w:val="51032803"/>
    <w:rsid w:val="53901ECC"/>
    <w:rsid w:val="55327046"/>
    <w:rsid w:val="57041A0F"/>
    <w:rsid w:val="573F7409"/>
    <w:rsid w:val="59D9671C"/>
    <w:rsid w:val="5C9857F9"/>
    <w:rsid w:val="5D2D0FF4"/>
    <w:rsid w:val="64C87DAE"/>
    <w:rsid w:val="6A8C7499"/>
    <w:rsid w:val="6BC42A4A"/>
    <w:rsid w:val="6E2C7E5B"/>
    <w:rsid w:val="70C7099A"/>
    <w:rsid w:val="7CAC4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文字 Char"/>
    <w:basedOn w:val="7"/>
    <w:link w:val="2"/>
    <w:semiHidden/>
    <w:qFormat/>
    <w:uiPriority w:val="99"/>
    <w:rPr>
      <w:rFonts w:ascii="Calibri" w:hAnsi="Calibri" w:eastAsia="宋体" w:cs="Calibri"/>
      <w:szCs w:val="21"/>
    </w:rPr>
  </w:style>
  <w:style w:type="character" w:customStyle="1" w:styleId="11">
    <w:name w:val="批注框文本 Char"/>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315</Words>
  <Characters>1797</Characters>
  <Lines>14</Lines>
  <Paragraphs>4</Paragraphs>
  <TotalTime>0</TotalTime>
  <ScaleCrop>false</ScaleCrop>
  <LinksUpToDate>false</LinksUpToDate>
  <CharactersWithSpaces>2108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2020-01-13T01:23:00Z</dcterms:created>
  <dc:creator>lenovo</dc:creator>
  <cp:lastModifiedBy>兰倩</cp:lastModifiedBy>
  <dcterms:modified xsi:type="dcterms:W3CDTF">2020-09-15T03:26:37Z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