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保温材料西藏自治区产品质量监督抽查实施细则</w:t>
      </w:r>
    </w:p>
    <w:p>
      <w:pPr>
        <w:wordWrap w:val="0"/>
        <w:adjustRightInd w:val="0"/>
        <w:snapToGrid w:val="0"/>
        <w:spacing w:line="594" w:lineRule="exact"/>
        <w:jc w:val="right"/>
        <w:rPr>
          <w:rFonts w:ascii="Times New Roman" w:hAnsi="Times New Roman" w:eastAsia="方正小标宋简体" w:cs="方正仿宋简体"/>
          <w:color w:val="000000"/>
          <w:sz w:val="28"/>
          <w:szCs w:val="28"/>
        </w:rPr>
      </w:pPr>
      <w:r>
        <w:rPr>
          <w:rFonts w:eastAsia="方正小标宋简体" w:cs="方正仿宋简体"/>
          <w:color w:val="000000"/>
          <w:sz w:val="28"/>
          <w:szCs w:val="28"/>
        </w:rPr>
        <w:t>21</w:t>
      </w:r>
      <w:r>
        <w:rPr>
          <w:rFonts w:hint="eastAsia" w:eastAsia="方正小标宋简体" w:cs="方正仿宋简体"/>
          <w:color w:val="000000"/>
          <w:sz w:val="28"/>
          <w:szCs w:val="28"/>
        </w:rPr>
        <w:t>-XZCCXZ-</w:t>
      </w:r>
      <w:r>
        <w:rPr>
          <w:rFonts w:eastAsia="方正小标宋简体" w:cs="方正仿宋简体"/>
          <w:color w:val="000000"/>
          <w:sz w:val="28"/>
          <w:szCs w:val="28"/>
        </w:rPr>
        <w:t>428.1</w:t>
      </w:r>
      <w:r>
        <w:rPr>
          <w:rFonts w:hint="eastAsia" w:eastAsia="方正小标宋简体" w:cs="方正仿宋简体"/>
          <w:color w:val="000000"/>
          <w:sz w:val="28"/>
          <w:szCs w:val="28"/>
        </w:rPr>
        <w:t>-2020</w:t>
      </w:r>
      <w:r>
        <w:rPr>
          <w:rFonts w:eastAsia="方正小标宋简体" w:cs="方正仿宋简体"/>
          <w:color w:val="000000"/>
          <w:sz w:val="28"/>
          <w:szCs w:val="28"/>
        </w:rPr>
        <w:t xml:space="preserve"> </w:t>
      </w: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样品</w:t>
      </w:r>
      <w:r>
        <w:rPr>
          <w:rFonts w:ascii="Times New Roman" w:hAnsi="Times New Roman"/>
          <w:color w:val="000000"/>
          <w:szCs w:val="21"/>
        </w:rPr>
        <w:t>在被抽样生产者、销售者的待销产品中</w:t>
      </w:r>
      <w:r>
        <w:rPr>
          <w:rFonts w:hint="eastAsia" w:ascii="Times New Roman" w:hAnsi="Times New Roman"/>
          <w:color w:val="000000"/>
          <w:szCs w:val="21"/>
        </w:rPr>
        <w:t>随机</w:t>
      </w:r>
      <w:r>
        <w:rPr>
          <w:rFonts w:ascii="Times New Roman" w:hAnsi="Times New Roman"/>
          <w:color w:val="000000"/>
          <w:szCs w:val="21"/>
        </w:rPr>
        <w:t>抽取</w:t>
      </w:r>
      <w:r>
        <w:rPr>
          <w:rFonts w:hint="eastAsia" w:ascii="Times New Roman" w:hAnsi="Times New Roman"/>
          <w:color w:val="000000"/>
          <w:szCs w:val="21"/>
        </w:rPr>
        <w:t>经企业检验合格或以其他方式表明合格的近期生产的商品。抽样基数满足抽样数量即可</w:t>
      </w:r>
      <w:r>
        <w:rPr>
          <w:rFonts w:ascii="Times New Roman" w:hAnsi="Times New Roman"/>
          <w:color w:val="000000"/>
          <w:szCs w:val="21"/>
        </w:rPr>
        <w:t>。</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w:t>
      </w:r>
      <w:r>
        <w:rPr>
          <w:rFonts w:hint="eastAsia" w:ascii="Times New Roman" w:hAnsi="Times New Roman"/>
          <w:color w:val="000000"/>
          <w:szCs w:val="21"/>
        </w:rPr>
        <w:t>、骰子或扑克牌</w:t>
      </w:r>
      <w:r>
        <w:rPr>
          <w:rFonts w:ascii="Times New Roman" w:hAnsi="Times New Roman"/>
          <w:color w:val="000000"/>
          <w:szCs w:val="21"/>
        </w:rPr>
        <w:t>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从同一批次、同一规格的产品中随机抽取</w:t>
      </w:r>
      <w:r>
        <w:rPr>
          <w:rFonts w:ascii="宋体" w:hAnsi="宋体"/>
          <w:szCs w:val="21"/>
        </w:rPr>
        <w:t>6</w:t>
      </w:r>
      <w:r>
        <w:rPr>
          <w:rFonts w:hint="eastAsia" w:ascii="宋体" w:hAnsi="宋体"/>
          <w:szCs w:val="21"/>
        </w:rPr>
        <w:t>块，</w:t>
      </w:r>
      <w:r>
        <w:rPr>
          <w:rFonts w:hint="eastAsia" w:ascii="Times New Roman" w:hAnsi="Times New Roman"/>
          <w:szCs w:val="21"/>
        </w:rPr>
        <w:t>单块面积样品不小于0</w:t>
      </w:r>
      <w:r>
        <w:rPr>
          <w:rFonts w:ascii="Times New Roman" w:hAnsi="Times New Roman"/>
          <w:szCs w:val="21"/>
        </w:rPr>
        <w:t>.8m</w:t>
      </w:r>
      <w:r>
        <w:rPr>
          <w:rFonts w:ascii="Times New Roman" w:hAnsi="Times New Roman"/>
          <w:szCs w:val="21"/>
          <w:vertAlign w:val="superscript"/>
        </w:rPr>
        <w:t>2</w:t>
      </w:r>
      <w:r>
        <w:rPr>
          <w:rFonts w:hint="eastAsia" w:ascii="Times New Roman" w:hAnsi="Times New Roman"/>
          <w:szCs w:val="21"/>
        </w:rPr>
        <w:t>，</w:t>
      </w:r>
      <w:r>
        <w:rPr>
          <w:rFonts w:ascii="Times New Roman" w:hAnsi="Times New Roman"/>
          <w:szCs w:val="21"/>
        </w:rPr>
        <w:t>其中4</w:t>
      </w:r>
      <w:r>
        <w:rPr>
          <w:rFonts w:hint="eastAsia" w:ascii="Times New Roman" w:hAnsi="Times New Roman"/>
          <w:szCs w:val="21"/>
        </w:rPr>
        <w:t>块</w:t>
      </w:r>
      <w:r>
        <w:rPr>
          <w:rFonts w:ascii="Times New Roman" w:hAnsi="Times New Roman"/>
          <w:szCs w:val="21"/>
        </w:rPr>
        <w:t>作为检验样品，2</w:t>
      </w:r>
      <w:r>
        <w:rPr>
          <w:rFonts w:hint="eastAsia" w:ascii="Times New Roman" w:hAnsi="Times New Roman"/>
          <w:szCs w:val="21"/>
        </w:rPr>
        <w:t>块</w:t>
      </w:r>
      <w:r>
        <w:rPr>
          <w:rFonts w:ascii="Times New Roman" w:hAnsi="Times New Roman"/>
          <w:szCs w:val="21"/>
        </w:rPr>
        <w:t>作</w:t>
      </w:r>
      <w:r>
        <w:rPr>
          <w:rFonts w:hint="eastAsia" w:ascii="宋体" w:hAnsi="宋体"/>
          <w:szCs w:val="21"/>
        </w:rPr>
        <w:t>为备用样品。</w:t>
      </w:r>
      <w:r>
        <w:rPr>
          <w:rFonts w:hint="eastAsia"/>
          <w:szCs w:val="21"/>
        </w:rPr>
        <w:t>检验用样品及备用样品分别封样，备用样品封样后存放于被抽检单位处。</w:t>
      </w: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rPr>
          <w:rFonts w:ascii="Times New Roman" w:hAnsi="Times New Roman" w:eastAsia="黑体"/>
          <w:color w:val="000000"/>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2506"/>
        <w:gridCol w:w="2942"/>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09"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2506"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942" w:type="dxa"/>
            <w:vAlign w:val="center"/>
          </w:tcPr>
          <w:p>
            <w:pPr>
              <w:spacing w:line="440" w:lineRule="exact"/>
              <w:jc w:val="center"/>
              <w:textAlignment w:val="center"/>
              <w:rPr>
                <w:rFonts w:ascii="Times New Roman" w:hAnsi="Times New Roman"/>
                <w:szCs w:val="21"/>
              </w:rPr>
            </w:pPr>
            <w:r>
              <w:rPr>
                <w:rFonts w:hint="eastAsia" w:ascii="Times New Roman" w:hAnsi="Times New Roman"/>
                <w:color w:val="000000"/>
                <w:szCs w:val="21"/>
              </w:rPr>
              <w:t>判定依据</w:t>
            </w:r>
          </w:p>
        </w:tc>
        <w:tc>
          <w:tcPr>
            <w:tcW w:w="2917" w:type="dxa"/>
            <w:vAlign w:val="center"/>
          </w:tcPr>
          <w:p>
            <w:pPr>
              <w:spacing w:line="440" w:lineRule="exact"/>
              <w:jc w:val="center"/>
              <w:textAlignment w:val="center"/>
              <w:rPr>
                <w:rFonts w:ascii="Times New Roman" w:hAnsi="Times New Roman"/>
                <w:color w:val="000000"/>
                <w:szCs w:val="21"/>
              </w:rPr>
            </w:pPr>
            <w:r>
              <w:rPr>
                <w:rFonts w:hint="eastAsia" w:ascii="Times New Roman" w:hAnsi="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250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尺寸测量</w:t>
            </w:r>
          </w:p>
        </w:tc>
        <w:tc>
          <w:tcPr>
            <w:tcW w:w="2942" w:type="dxa"/>
            <w:vAlign w:val="center"/>
          </w:tcPr>
          <w:p>
            <w:pPr>
              <w:snapToGrid w:val="0"/>
              <w:jc w:val="center"/>
              <w:rPr>
                <w:rFonts w:ascii="Times New Roman" w:hAnsi="Times New Roman"/>
                <w:color w:val="000000"/>
                <w:szCs w:val="21"/>
              </w:rPr>
            </w:pPr>
            <w:r>
              <w:rPr>
                <w:rFonts w:ascii="Times New Roman" w:hAnsi="Times New Roman"/>
                <w:color w:val="000000"/>
                <w:szCs w:val="21"/>
              </w:rPr>
              <w:t>GB/T 10801.1-2002</w:t>
            </w:r>
          </w:p>
        </w:tc>
        <w:tc>
          <w:tcPr>
            <w:tcW w:w="2917" w:type="dxa"/>
            <w:vAlign w:val="center"/>
          </w:tcPr>
          <w:p>
            <w:pPr>
              <w:snapToGrid w:val="0"/>
              <w:jc w:val="center"/>
              <w:rPr>
                <w:rFonts w:ascii="Times New Roman" w:hAnsi="Times New Roman"/>
                <w:color w:val="000000"/>
                <w:szCs w:val="21"/>
              </w:rPr>
            </w:pPr>
            <w:r>
              <w:rPr>
                <w:rFonts w:ascii="Times New Roman" w:hAnsi="Times New Roman"/>
                <w:color w:val="000000"/>
                <w:szCs w:val="21"/>
              </w:rPr>
              <w:t>GB/</w:t>
            </w:r>
            <w:bookmarkStart w:id="0" w:name="_GoBack"/>
            <w:bookmarkEnd w:id="0"/>
            <w:r>
              <w:rPr>
                <w:rFonts w:ascii="Times New Roman" w:hAnsi="Times New Roman"/>
                <w:color w:val="000000"/>
                <w:szCs w:val="21"/>
              </w:rPr>
              <w:t>T 6342-1996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250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外观</w:t>
            </w:r>
          </w:p>
        </w:tc>
        <w:tc>
          <w:tcPr>
            <w:tcW w:w="2942" w:type="dxa"/>
            <w:vAlign w:val="center"/>
          </w:tcPr>
          <w:p>
            <w:pPr>
              <w:jc w:val="center"/>
            </w:pPr>
            <w:r>
              <w:rPr>
                <w:rFonts w:ascii="Times New Roman" w:hAnsi="Times New Roman"/>
                <w:color w:val="000000"/>
                <w:szCs w:val="21"/>
              </w:rPr>
              <w:t>GB/T 10801.1-2002</w:t>
            </w:r>
          </w:p>
        </w:tc>
        <w:tc>
          <w:tcPr>
            <w:tcW w:w="2917" w:type="dxa"/>
            <w:vAlign w:val="center"/>
          </w:tcPr>
          <w:p>
            <w:pPr>
              <w:jc w:val="center"/>
            </w:pPr>
            <w:r>
              <w:rPr>
                <w:rFonts w:ascii="Times New Roman" w:hAnsi="Times New Roman"/>
                <w:color w:val="000000"/>
                <w:szCs w:val="21"/>
              </w:rPr>
              <w:t>GB/T 10801.1-2002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250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表观密度</w:t>
            </w:r>
          </w:p>
        </w:tc>
        <w:tc>
          <w:tcPr>
            <w:tcW w:w="2942" w:type="dxa"/>
            <w:vAlign w:val="center"/>
          </w:tcPr>
          <w:p>
            <w:pPr>
              <w:jc w:val="center"/>
            </w:pPr>
            <w:r>
              <w:rPr>
                <w:rFonts w:ascii="Times New Roman" w:hAnsi="Times New Roman"/>
                <w:color w:val="000000"/>
                <w:szCs w:val="21"/>
              </w:rPr>
              <w:t>GB/T 10801.1-2002</w:t>
            </w:r>
          </w:p>
        </w:tc>
        <w:tc>
          <w:tcPr>
            <w:tcW w:w="2917" w:type="dxa"/>
            <w:vAlign w:val="center"/>
          </w:tcPr>
          <w:p>
            <w:pPr>
              <w:jc w:val="center"/>
            </w:pPr>
            <w:r>
              <w:rPr>
                <w:rFonts w:ascii="Times New Roman" w:hAnsi="Times New Roman"/>
                <w:color w:val="000000"/>
                <w:szCs w:val="21"/>
              </w:rPr>
              <w:t>GB/T 6343-2009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250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压缩强度</w:t>
            </w:r>
          </w:p>
        </w:tc>
        <w:tc>
          <w:tcPr>
            <w:tcW w:w="2942" w:type="dxa"/>
            <w:vAlign w:val="center"/>
          </w:tcPr>
          <w:p>
            <w:pPr>
              <w:jc w:val="center"/>
            </w:pPr>
            <w:r>
              <w:rPr>
                <w:rFonts w:ascii="Times New Roman" w:hAnsi="Times New Roman"/>
                <w:color w:val="000000"/>
                <w:szCs w:val="21"/>
              </w:rPr>
              <w:t>GB/T 10801.1-2002</w:t>
            </w:r>
          </w:p>
        </w:tc>
        <w:tc>
          <w:tcPr>
            <w:tcW w:w="2917" w:type="dxa"/>
            <w:vAlign w:val="center"/>
          </w:tcPr>
          <w:p>
            <w:pPr>
              <w:jc w:val="center"/>
            </w:pPr>
            <w:r>
              <w:rPr>
                <w:rFonts w:ascii="Times New Roman" w:hAnsi="Times New Roman"/>
                <w:color w:val="000000"/>
                <w:szCs w:val="21"/>
              </w:rPr>
              <w:t>GB/T 8813-2008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250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尺寸稳定性</w:t>
            </w:r>
          </w:p>
        </w:tc>
        <w:tc>
          <w:tcPr>
            <w:tcW w:w="2942" w:type="dxa"/>
            <w:vAlign w:val="center"/>
          </w:tcPr>
          <w:p>
            <w:pPr>
              <w:jc w:val="center"/>
            </w:pPr>
            <w:r>
              <w:rPr>
                <w:rFonts w:ascii="Times New Roman" w:hAnsi="Times New Roman"/>
                <w:color w:val="000000"/>
                <w:szCs w:val="21"/>
              </w:rPr>
              <w:t>GB/T 10801.1-2002</w:t>
            </w:r>
          </w:p>
        </w:tc>
        <w:tc>
          <w:tcPr>
            <w:tcW w:w="2917" w:type="dxa"/>
            <w:vAlign w:val="center"/>
          </w:tcPr>
          <w:p>
            <w:pPr>
              <w:jc w:val="center"/>
            </w:pPr>
            <w:r>
              <w:rPr>
                <w:rFonts w:ascii="Times New Roman" w:hAnsi="Times New Roman"/>
                <w:color w:val="000000"/>
                <w:szCs w:val="21"/>
              </w:rPr>
              <w:t>GB/T 8811-2005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250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熔接性的测定</w:t>
            </w:r>
          </w:p>
        </w:tc>
        <w:tc>
          <w:tcPr>
            <w:tcW w:w="2942" w:type="dxa"/>
            <w:vAlign w:val="center"/>
          </w:tcPr>
          <w:p>
            <w:pPr>
              <w:jc w:val="center"/>
            </w:pPr>
            <w:r>
              <w:rPr>
                <w:rFonts w:ascii="Times New Roman" w:hAnsi="Times New Roman"/>
                <w:color w:val="000000"/>
                <w:szCs w:val="21"/>
              </w:rPr>
              <w:t>GB/T 10801.1-2002</w:t>
            </w:r>
          </w:p>
        </w:tc>
        <w:tc>
          <w:tcPr>
            <w:tcW w:w="2917" w:type="dxa"/>
            <w:vAlign w:val="center"/>
          </w:tcPr>
          <w:p>
            <w:pPr>
              <w:jc w:val="center"/>
            </w:pPr>
            <w:r>
              <w:rPr>
                <w:rFonts w:ascii="Times New Roman" w:hAnsi="Times New Roman"/>
                <w:color w:val="000000"/>
                <w:szCs w:val="21"/>
              </w:rPr>
              <w:t>GB/T 8812.1-2007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7</w:t>
            </w:r>
          </w:p>
        </w:tc>
        <w:tc>
          <w:tcPr>
            <w:tcW w:w="2506" w:type="dxa"/>
            <w:vAlign w:val="center"/>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导热系数</w:t>
            </w:r>
          </w:p>
        </w:tc>
        <w:tc>
          <w:tcPr>
            <w:tcW w:w="2942" w:type="dxa"/>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10801.1-2002</w:t>
            </w:r>
          </w:p>
        </w:tc>
        <w:tc>
          <w:tcPr>
            <w:tcW w:w="2917" w:type="dxa"/>
            <w:vAlign w:val="center"/>
          </w:tcPr>
          <w:p>
            <w:pPr>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10294-2008</w:t>
            </w:r>
          </w:p>
          <w:p>
            <w:pPr>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10295-2008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 w:type="dxa"/>
            <w:vAlign w:val="center"/>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8</w:t>
            </w:r>
          </w:p>
        </w:tc>
        <w:tc>
          <w:tcPr>
            <w:tcW w:w="2506" w:type="dxa"/>
            <w:vAlign w:val="center"/>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燃烧性能</w:t>
            </w:r>
          </w:p>
        </w:tc>
        <w:tc>
          <w:tcPr>
            <w:tcW w:w="2942" w:type="dxa"/>
            <w:vAlign w:val="center"/>
          </w:tcPr>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10801.1-2002</w:t>
            </w:r>
          </w:p>
        </w:tc>
        <w:tc>
          <w:tcPr>
            <w:tcW w:w="2917" w:type="dxa"/>
            <w:vAlign w:val="center"/>
          </w:tcPr>
          <w:p>
            <w:pPr>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2406.1-2008</w:t>
            </w:r>
          </w:p>
          <w:p>
            <w:pPr>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2406.2-2009</w:t>
            </w:r>
          </w:p>
          <w:p>
            <w:pPr>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 8624-2012</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rFonts w:ascii="Times New Roman" w:hAnsi="Times New Roman" w:eastAsia="仿宋"/>
          <w:b/>
          <w:bCs/>
        </w:rPr>
      </w:pPr>
      <w:r>
        <w:rPr>
          <w:rFonts w:hint="eastAsia"/>
          <w:color w:val="000000"/>
          <w:szCs w:val="21"/>
        </w:rPr>
        <w:t>备注：所有试验样品应自生产之日起在自然条件下放置2</w:t>
      </w:r>
      <w:r>
        <w:rPr>
          <w:color w:val="000000"/>
          <w:szCs w:val="21"/>
        </w:rPr>
        <w:t>8d</w:t>
      </w:r>
      <w:r>
        <w:rPr>
          <w:rFonts w:hint="eastAsia"/>
          <w:color w:val="000000"/>
          <w:szCs w:val="21"/>
        </w:rPr>
        <w:t>后并去掉表皮进行测试。所有实验按G</w:t>
      </w:r>
      <w:r>
        <w:rPr>
          <w:color w:val="000000"/>
          <w:szCs w:val="21"/>
        </w:rPr>
        <w:t>B/T 2918-1998</w:t>
      </w:r>
      <w:r>
        <w:rPr>
          <w:rFonts w:hint="eastAsia"/>
          <w:color w:val="000000"/>
          <w:szCs w:val="21"/>
        </w:rPr>
        <w:t>中二级环境条件进行，样品在温度（2</w:t>
      </w:r>
      <w:r>
        <w:rPr>
          <w:color w:val="000000"/>
          <w:szCs w:val="21"/>
        </w:rPr>
        <w:t>3±2</w:t>
      </w:r>
      <w:r>
        <w:rPr>
          <w:rFonts w:hint="eastAsia"/>
          <w:color w:val="000000"/>
          <w:szCs w:val="21"/>
        </w:rPr>
        <w:t>）℃，相对湿度</w:t>
      </w:r>
      <w:r>
        <w:rPr>
          <w:color w:val="000000"/>
          <w:szCs w:val="21"/>
        </w:rPr>
        <w:t>45%~55%</w:t>
      </w:r>
      <w:r>
        <w:rPr>
          <w:rFonts w:hint="eastAsia"/>
          <w:color w:val="000000"/>
          <w:szCs w:val="21"/>
        </w:rPr>
        <w:t>的条件下进行1</w:t>
      </w:r>
      <w:r>
        <w:rPr>
          <w:color w:val="000000"/>
          <w:szCs w:val="21"/>
        </w:rPr>
        <w:t>6h</w:t>
      </w:r>
      <w:r>
        <w:rPr>
          <w:rFonts w:hint="eastAsia"/>
          <w:color w:val="000000"/>
          <w:szCs w:val="21"/>
        </w:rPr>
        <w:t>状态调节。</w:t>
      </w: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 8624-2012 </w:t>
      </w:r>
      <w:r>
        <w:rPr>
          <w:rFonts w:hint="eastAsia" w:ascii="Times New Roman" w:hAnsi="Times New Roman"/>
          <w:color w:val="000000"/>
          <w:szCs w:val="21"/>
        </w:rPr>
        <w:t>建筑材料及制品燃烧性能分级</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2406.1-2008 </w:t>
      </w:r>
      <w:r>
        <w:rPr>
          <w:rFonts w:hint="eastAsia" w:ascii="Times New Roman" w:hAnsi="Times New Roman"/>
          <w:color w:val="000000"/>
          <w:szCs w:val="21"/>
        </w:rPr>
        <w:t>塑料 用氧指数法测定燃烧行为 第1部分：导则</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2406.2-2009 </w:t>
      </w:r>
      <w:r>
        <w:rPr>
          <w:rFonts w:hint="eastAsia" w:ascii="Times New Roman" w:hAnsi="Times New Roman"/>
          <w:color w:val="000000"/>
          <w:szCs w:val="21"/>
        </w:rPr>
        <w:t>塑料 用氧指数法测定燃烧行为 第2部分：室温试验</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6342-1996 </w:t>
      </w:r>
      <w:r>
        <w:rPr>
          <w:rFonts w:hint="eastAsia" w:ascii="Times New Roman" w:hAnsi="Times New Roman"/>
          <w:color w:val="000000"/>
          <w:szCs w:val="21"/>
        </w:rPr>
        <w:t>泡沫塑料与橡胶 线性尺寸的测定</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6343-2009 </w:t>
      </w:r>
      <w:r>
        <w:rPr>
          <w:rFonts w:hint="eastAsia" w:ascii="Times New Roman" w:hAnsi="Times New Roman"/>
          <w:color w:val="000000"/>
          <w:szCs w:val="21"/>
        </w:rPr>
        <w:t>泡沫塑料及橡胶 表观密度的测定</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8811-2005 </w:t>
      </w:r>
      <w:r>
        <w:rPr>
          <w:rFonts w:hint="eastAsia" w:ascii="Times New Roman" w:hAnsi="Times New Roman"/>
          <w:color w:val="000000"/>
          <w:szCs w:val="21"/>
        </w:rPr>
        <w:t>硬质泡沫塑料 尺寸稳定性试验方法</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8812.1-2007 </w:t>
      </w:r>
      <w:r>
        <w:rPr>
          <w:rFonts w:hint="eastAsia" w:ascii="Times New Roman" w:hAnsi="Times New Roman"/>
          <w:color w:val="000000"/>
          <w:szCs w:val="21"/>
        </w:rPr>
        <w:t>硬质泡沫塑料 弯曲性能的测定 第1部分：基本弯曲试验</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8813-2008 </w:t>
      </w:r>
      <w:r>
        <w:rPr>
          <w:rFonts w:hint="eastAsia" w:ascii="Times New Roman" w:hAnsi="Times New Roman"/>
          <w:color w:val="000000"/>
          <w:szCs w:val="21"/>
        </w:rPr>
        <w:t>硬质泡沫塑料压缩性能的测定</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10294-2008 </w:t>
      </w:r>
      <w:r>
        <w:rPr>
          <w:rFonts w:hint="eastAsia" w:ascii="Times New Roman" w:hAnsi="Times New Roman"/>
          <w:color w:val="000000"/>
          <w:szCs w:val="21"/>
        </w:rPr>
        <w:t>绝热材料稳态热阻及有关特性的测定 防护热板法</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10295-2008 </w:t>
      </w:r>
      <w:r>
        <w:rPr>
          <w:rFonts w:hint="eastAsia" w:ascii="Times New Roman" w:hAnsi="Times New Roman"/>
          <w:color w:val="000000"/>
          <w:szCs w:val="21"/>
        </w:rPr>
        <w:t>绝热材料稳态热阻及有关特性的测定 热流计法</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GB/T 10801.1-2002</w:t>
      </w:r>
      <w:r>
        <w:rPr>
          <w:rFonts w:hint="eastAsia" w:ascii="Times New Roman" w:hAnsi="Times New Roman"/>
          <w:color w:val="000000"/>
          <w:szCs w:val="21"/>
        </w:rPr>
        <w:t xml:space="preserve"> 绝热用模塑聚苯乙烯泡沫塑料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w:t>
      </w:r>
      <w:r>
        <w:rPr>
          <w:rFonts w:hint="eastAsia" w:ascii="Times New Roman" w:hAnsi="Times New Roman"/>
          <w:color w:val="000000"/>
          <w:szCs w:val="21"/>
        </w:rPr>
        <w:t>所检项目</w:t>
      </w:r>
      <w:r>
        <w:rPr>
          <w:rFonts w:ascii="Times New Roman" w:hAnsi="Times New Roman"/>
          <w:color w:val="000000"/>
          <w:szCs w:val="21"/>
        </w:rPr>
        <w:t>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7A"/>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30852"/>
    <w:rsid w:val="00052D0A"/>
    <w:rsid w:val="0006741A"/>
    <w:rsid w:val="00080190"/>
    <w:rsid w:val="000A0C0F"/>
    <w:rsid w:val="000A1F68"/>
    <w:rsid w:val="0010045C"/>
    <w:rsid w:val="001134E2"/>
    <w:rsid w:val="00130C21"/>
    <w:rsid w:val="0013450E"/>
    <w:rsid w:val="00135D58"/>
    <w:rsid w:val="00145818"/>
    <w:rsid w:val="001479E1"/>
    <w:rsid w:val="00175325"/>
    <w:rsid w:val="001960E8"/>
    <w:rsid w:val="00197FAE"/>
    <w:rsid w:val="001B1ECE"/>
    <w:rsid w:val="001B3557"/>
    <w:rsid w:val="001D3021"/>
    <w:rsid w:val="001E25EE"/>
    <w:rsid w:val="001E7E75"/>
    <w:rsid w:val="001F4D89"/>
    <w:rsid w:val="00211AD3"/>
    <w:rsid w:val="002642D1"/>
    <w:rsid w:val="00283526"/>
    <w:rsid w:val="00287CFB"/>
    <w:rsid w:val="002A1067"/>
    <w:rsid w:val="002C75FA"/>
    <w:rsid w:val="002F3260"/>
    <w:rsid w:val="00301FD0"/>
    <w:rsid w:val="0033483F"/>
    <w:rsid w:val="00342341"/>
    <w:rsid w:val="00350441"/>
    <w:rsid w:val="00354255"/>
    <w:rsid w:val="00355360"/>
    <w:rsid w:val="00360312"/>
    <w:rsid w:val="003611BA"/>
    <w:rsid w:val="003701D3"/>
    <w:rsid w:val="003C4925"/>
    <w:rsid w:val="004342C5"/>
    <w:rsid w:val="004565AD"/>
    <w:rsid w:val="004A34C8"/>
    <w:rsid w:val="004A4DFC"/>
    <w:rsid w:val="004B599D"/>
    <w:rsid w:val="004C6EAB"/>
    <w:rsid w:val="004C79DF"/>
    <w:rsid w:val="004D05AF"/>
    <w:rsid w:val="00507AE0"/>
    <w:rsid w:val="0051512A"/>
    <w:rsid w:val="00546430"/>
    <w:rsid w:val="00560FE5"/>
    <w:rsid w:val="005934DE"/>
    <w:rsid w:val="00624DD6"/>
    <w:rsid w:val="0062529E"/>
    <w:rsid w:val="006350F9"/>
    <w:rsid w:val="00652075"/>
    <w:rsid w:val="00652B40"/>
    <w:rsid w:val="00660FFF"/>
    <w:rsid w:val="00670265"/>
    <w:rsid w:val="0067449B"/>
    <w:rsid w:val="00675807"/>
    <w:rsid w:val="006C75F5"/>
    <w:rsid w:val="006F3686"/>
    <w:rsid w:val="006F6818"/>
    <w:rsid w:val="00700705"/>
    <w:rsid w:val="007032EA"/>
    <w:rsid w:val="00712FE6"/>
    <w:rsid w:val="00721DBD"/>
    <w:rsid w:val="0076570D"/>
    <w:rsid w:val="00766407"/>
    <w:rsid w:val="007C5B37"/>
    <w:rsid w:val="007E7B78"/>
    <w:rsid w:val="00801099"/>
    <w:rsid w:val="0081765C"/>
    <w:rsid w:val="008536DB"/>
    <w:rsid w:val="00863267"/>
    <w:rsid w:val="00863F48"/>
    <w:rsid w:val="00872CC4"/>
    <w:rsid w:val="008737DB"/>
    <w:rsid w:val="008B307F"/>
    <w:rsid w:val="008B4A07"/>
    <w:rsid w:val="008C2D89"/>
    <w:rsid w:val="008E4C32"/>
    <w:rsid w:val="008F131B"/>
    <w:rsid w:val="00910C47"/>
    <w:rsid w:val="00911043"/>
    <w:rsid w:val="00933214"/>
    <w:rsid w:val="00963128"/>
    <w:rsid w:val="009740D6"/>
    <w:rsid w:val="009A6925"/>
    <w:rsid w:val="009B3AF3"/>
    <w:rsid w:val="009B48C4"/>
    <w:rsid w:val="009C1C38"/>
    <w:rsid w:val="009D2CD9"/>
    <w:rsid w:val="009D2E2A"/>
    <w:rsid w:val="009E6086"/>
    <w:rsid w:val="009F1218"/>
    <w:rsid w:val="009F189F"/>
    <w:rsid w:val="00A055B0"/>
    <w:rsid w:val="00A0674B"/>
    <w:rsid w:val="00A45E64"/>
    <w:rsid w:val="00A5157E"/>
    <w:rsid w:val="00A66A3D"/>
    <w:rsid w:val="00A7543F"/>
    <w:rsid w:val="00A77E8A"/>
    <w:rsid w:val="00A916BA"/>
    <w:rsid w:val="00AB2350"/>
    <w:rsid w:val="00AB462B"/>
    <w:rsid w:val="00AE1821"/>
    <w:rsid w:val="00AE471A"/>
    <w:rsid w:val="00AE5734"/>
    <w:rsid w:val="00AF5572"/>
    <w:rsid w:val="00B41106"/>
    <w:rsid w:val="00B51584"/>
    <w:rsid w:val="00B54E2B"/>
    <w:rsid w:val="00B55224"/>
    <w:rsid w:val="00B80476"/>
    <w:rsid w:val="00B97F97"/>
    <w:rsid w:val="00BB6AE5"/>
    <w:rsid w:val="00BD109E"/>
    <w:rsid w:val="00BD2490"/>
    <w:rsid w:val="00C075F6"/>
    <w:rsid w:val="00C17712"/>
    <w:rsid w:val="00C17F20"/>
    <w:rsid w:val="00C207B1"/>
    <w:rsid w:val="00C21785"/>
    <w:rsid w:val="00C345BB"/>
    <w:rsid w:val="00C46A22"/>
    <w:rsid w:val="00C57739"/>
    <w:rsid w:val="00C9467F"/>
    <w:rsid w:val="00CA58E7"/>
    <w:rsid w:val="00CD0330"/>
    <w:rsid w:val="00CD3877"/>
    <w:rsid w:val="00CF5F1B"/>
    <w:rsid w:val="00D1325F"/>
    <w:rsid w:val="00D15332"/>
    <w:rsid w:val="00D221C5"/>
    <w:rsid w:val="00D31DB4"/>
    <w:rsid w:val="00D6657B"/>
    <w:rsid w:val="00D732ED"/>
    <w:rsid w:val="00D85C2A"/>
    <w:rsid w:val="00D879A0"/>
    <w:rsid w:val="00D92B01"/>
    <w:rsid w:val="00D9506C"/>
    <w:rsid w:val="00DC0140"/>
    <w:rsid w:val="00DD7E3B"/>
    <w:rsid w:val="00DE0426"/>
    <w:rsid w:val="00E1489E"/>
    <w:rsid w:val="00E155ED"/>
    <w:rsid w:val="00E24FC8"/>
    <w:rsid w:val="00E335A9"/>
    <w:rsid w:val="00E55DC8"/>
    <w:rsid w:val="00E96130"/>
    <w:rsid w:val="00EF0AC2"/>
    <w:rsid w:val="00EF2B9F"/>
    <w:rsid w:val="00F63034"/>
    <w:rsid w:val="00FA2884"/>
    <w:rsid w:val="00FA45C8"/>
    <w:rsid w:val="00FA59DC"/>
    <w:rsid w:val="00FB7D54"/>
    <w:rsid w:val="00FC0C80"/>
    <w:rsid w:val="00FE1549"/>
    <w:rsid w:val="01757279"/>
    <w:rsid w:val="02394E6E"/>
    <w:rsid w:val="071C39DD"/>
    <w:rsid w:val="0C3020D5"/>
    <w:rsid w:val="14707C4A"/>
    <w:rsid w:val="14A748C1"/>
    <w:rsid w:val="29817179"/>
    <w:rsid w:val="2C062286"/>
    <w:rsid w:val="4A1D0919"/>
    <w:rsid w:val="4A4F4D5B"/>
    <w:rsid w:val="55CC633D"/>
    <w:rsid w:val="60D566FD"/>
    <w:rsid w:val="617142DB"/>
    <w:rsid w:val="61D054C2"/>
    <w:rsid w:val="61F5033B"/>
    <w:rsid w:val="652F585C"/>
    <w:rsid w:val="723415EF"/>
    <w:rsid w:val="76FA79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FAA0D8-09A0-483E-89CE-FBEA5DC0907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235</Words>
  <Characters>1344</Characters>
  <Lines>11</Lines>
  <Paragraphs>3</Paragraphs>
  <TotalTime>0</TotalTime>
  <ScaleCrop>false</ScaleCrop>
  <LinksUpToDate>false</LinksUpToDate>
  <CharactersWithSpaces>1576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2019-12-09T02:31:00Z</dcterms:created>
  <dc:creator>lenovo</dc:creator>
  <cp:lastModifiedBy>兰倩</cp:lastModifiedBy>
  <dcterms:modified xsi:type="dcterms:W3CDTF">2020-09-22T07:56:07Z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