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内外墙涂料西藏自治区产品质量监督抽查实施细则</w:t>
      </w:r>
    </w:p>
    <w:p>
      <w:pPr>
        <w:wordWrap w:val="0"/>
        <w:adjustRightInd w:val="0"/>
        <w:snapToGrid w:val="0"/>
        <w:spacing w:line="594" w:lineRule="exact"/>
        <w:jc w:val="right"/>
        <w:rPr>
          <w:rFonts w:ascii="Times New Roman" w:hAnsi="Times New Roman" w:eastAsia="方正小标宋简体" w:cs="方正仿宋简体"/>
          <w:color w:val="000000"/>
          <w:sz w:val="32"/>
          <w:szCs w:val="32"/>
        </w:rPr>
      </w:pPr>
      <w:r>
        <w:rPr>
          <w:rFonts w:eastAsia="方正小标宋简体" w:cs="方正仿宋简体"/>
          <w:color w:val="000000"/>
          <w:sz w:val="28"/>
          <w:szCs w:val="28"/>
        </w:rPr>
        <w:t>19</w:t>
      </w:r>
      <w:r>
        <w:rPr>
          <w:rFonts w:hint="eastAsia" w:eastAsia="方正小标宋简体" w:cs="方正仿宋简体"/>
          <w:color w:val="000000"/>
          <w:sz w:val="28"/>
          <w:szCs w:val="28"/>
        </w:rPr>
        <w:t>-XZCCXZ-</w:t>
      </w:r>
      <w:r>
        <w:rPr>
          <w:rFonts w:eastAsia="方正小标宋简体" w:cs="方正仿宋简体"/>
          <w:color w:val="000000"/>
          <w:sz w:val="28"/>
          <w:szCs w:val="28"/>
        </w:rPr>
        <w:t>411.3/411.4</w:t>
      </w:r>
      <w:r>
        <w:rPr>
          <w:rFonts w:hint="eastAsia" w:eastAsia="方正小标宋简体" w:cs="方正仿宋简体"/>
          <w:color w:val="000000"/>
          <w:sz w:val="28"/>
          <w:szCs w:val="28"/>
        </w:rPr>
        <w:t>-2020</w:t>
      </w:r>
      <w:r>
        <w:rPr>
          <w:rFonts w:eastAsia="方正小标宋简体" w:cs="方正仿宋简体"/>
          <w:color w:val="000000"/>
          <w:sz w:val="28"/>
          <w:szCs w:val="28"/>
        </w:rPr>
        <w:t xml:space="preserve"> </w:t>
      </w:r>
      <w:r>
        <w:rPr>
          <w:rFonts w:hint="eastAsia" w:ascii="Times New Roman" w:hAnsi="Times New Roman" w:eastAsia="方正小标宋简体" w:cs="方正仿宋简体"/>
          <w:color w:val="000000"/>
          <w:sz w:val="28"/>
          <w:szCs w:val="28"/>
        </w:rPr>
        <w:t xml:space="preserve"> </w:t>
      </w: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样品</w:t>
      </w:r>
      <w:r>
        <w:rPr>
          <w:rFonts w:ascii="Times New Roman" w:hAnsi="Times New Roman"/>
          <w:color w:val="000000"/>
          <w:szCs w:val="21"/>
        </w:rPr>
        <w:t>在被抽样生产者、销售者的待销产品中</w:t>
      </w:r>
      <w:r>
        <w:rPr>
          <w:rFonts w:hint="eastAsia" w:ascii="Times New Roman" w:hAnsi="Times New Roman"/>
          <w:color w:val="000000"/>
          <w:szCs w:val="21"/>
        </w:rPr>
        <w:t>随机</w:t>
      </w:r>
      <w:r>
        <w:rPr>
          <w:rFonts w:ascii="Times New Roman" w:hAnsi="Times New Roman"/>
          <w:color w:val="000000"/>
          <w:szCs w:val="21"/>
        </w:rPr>
        <w:t>抽取</w:t>
      </w:r>
      <w:r>
        <w:rPr>
          <w:rFonts w:hint="eastAsia" w:ascii="Times New Roman" w:hAnsi="Times New Roman"/>
          <w:color w:val="000000"/>
          <w:szCs w:val="21"/>
        </w:rPr>
        <w:t>经企业检验合格或以其他方式表明合格的近期生产的商品。抽样基数满足抽样数量即可</w:t>
      </w:r>
      <w:r>
        <w:rPr>
          <w:rFonts w:ascii="Times New Roman" w:hAnsi="Times New Roman"/>
          <w:color w:val="000000"/>
          <w:szCs w:val="21"/>
        </w:rPr>
        <w:t>。</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w:t>
      </w:r>
      <w:r>
        <w:rPr>
          <w:rFonts w:hint="eastAsia" w:ascii="Times New Roman" w:hAnsi="Times New Roman"/>
          <w:color w:val="000000"/>
          <w:szCs w:val="21"/>
        </w:rPr>
        <w:t>、骰子或扑克牌</w:t>
      </w:r>
      <w:r>
        <w:rPr>
          <w:rFonts w:ascii="Times New Roman" w:hAnsi="Times New Roman"/>
          <w:color w:val="000000"/>
          <w:szCs w:val="21"/>
        </w:rPr>
        <w:t>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从同一批次、同一规格的产品中随机抽取2份，每份</w:t>
      </w:r>
      <w:r>
        <w:rPr>
          <w:rFonts w:ascii="Times New Roman" w:hAnsi="Times New Roman"/>
          <w:szCs w:val="21"/>
        </w:rPr>
        <w:t>&gt;2kg其中</w:t>
      </w:r>
      <w:r>
        <w:rPr>
          <w:rFonts w:hint="eastAsia" w:ascii="Times New Roman" w:hAnsi="Times New Roman"/>
          <w:szCs w:val="21"/>
        </w:rPr>
        <w:t>1份</w:t>
      </w:r>
      <w:r>
        <w:rPr>
          <w:rFonts w:ascii="Times New Roman" w:hAnsi="Times New Roman"/>
          <w:szCs w:val="21"/>
        </w:rPr>
        <w:t>作为检验样品，</w:t>
      </w:r>
      <w:r>
        <w:rPr>
          <w:rFonts w:hint="eastAsia" w:ascii="Times New Roman" w:hAnsi="Times New Roman"/>
          <w:szCs w:val="21"/>
        </w:rPr>
        <w:t>1份</w:t>
      </w:r>
      <w:r>
        <w:rPr>
          <w:rFonts w:ascii="Times New Roman" w:hAnsi="Times New Roman"/>
          <w:szCs w:val="21"/>
        </w:rPr>
        <w:t>作</w:t>
      </w:r>
      <w:r>
        <w:rPr>
          <w:rFonts w:hint="eastAsia" w:ascii="宋体" w:hAnsi="宋体"/>
          <w:szCs w:val="21"/>
        </w:rPr>
        <w:t>为备用样品。</w:t>
      </w:r>
      <w:r>
        <w:rPr>
          <w:rFonts w:hint="eastAsia"/>
          <w:szCs w:val="21"/>
        </w:rPr>
        <w:t>检验用样品及备用样品分别封样，备用样品封样后存放于被抽检单位处。</w:t>
      </w:r>
    </w:p>
    <w:p>
      <w:pPr>
        <w:snapToGrid w:val="0"/>
        <w:spacing w:line="440" w:lineRule="exact"/>
        <w:ind w:firstLine="420" w:firstLineChars="200"/>
        <w:rPr>
          <w:rFonts w:ascii="Times New Roman" w:hAnsi="Times New Roman"/>
          <w:color w:val="000000"/>
          <w:szCs w:val="21"/>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jc w:val="center"/>
        <w:rPr>
          <w:rFonts w:ascii="Times New Roman" w:hAnsi="Times New Roman" w:eastAsia="黑体"/>
          <w:color w:val="000000"/>
          <w:szCs w:val="21"/>
        </w:rPr>
      </w:pPr>
      <w:r>
        <w:rPr>
          <w:rFonts w:hint="eastAsia" w:ascii="Times New Roman" w:hAnsi="Times New Roman" w:eastAsia="黑体"/>
          <w:color w:val="000000"/>
          <w:szCs w:val="21"/>
        </w:rPr>
        <w:t>内墙涂料检测项目及检测方法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3539"/>
        <w:gridCol w:w="2551"/>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22" w:type="dxa"/>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3539" w:type="dxa"/>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2551" w:type="dxa"/>
          </w:tcPr>
          <w:p>
            <w:pPr>
              <w:spacing w:line="440" w:lineRule="exact"/>
              <w:jc w:val="center"/>
              <w:textAlignment w:val="center"/>
              <w:rPr>
                <w:rFonts w:ascii="Times New Roman" w:hAnsi="Times New Roman"/>
                <w:color w:val="000000"/>
                <w:szCs w:val="21"/>
              </w:rPr>
            </w:pPr>
            <w:r>
              <w:rPr>
                <w:rFonts w:hint="eastAsia" w:ascii="Times New Roman" w:hAnsi="Times New Roman"/>
                <w:color w:val="000000"/>
                <w:szCs w:val="21"/>
              </w:rPr>
              <w:t>判定依据</w:t>
            </w:r>
          </w:p>
        </w:tc>
        <w:tc>
          <w:tcPr>
            <w:tcW w:w="2262" w:type="dxa"/>
            <w:vAlign w:val="center"/>
          </w:tcPr>
          <w:p>
            <w:pPr>
              <w:spacing w:line="440" w:lineRule="exact"/>
              <w:jc w:val="center"/>
              <w:textAlignment w:val="center"/>
              <w:rPr>
                <w:rFonts w:ascii="Times New Roman" w:hAnsi="Times New Roman"/>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353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游离甲醛</w:t>
            </w:r>
          </w:p>
        </w:tc>
        <w:tc>
          <w:tcPr>
            <w:tcW w:w="2551" w:type="dxa"/>
          </w:tcPr>
          <w:p>
            <w:pPr>
              <w:jc w:val="center"/>
              <w:rPr>
                <w:rFonts w:ascii="Times New Roman" w:hAnsi="Times New Roman"/>
                <w:color w:val="000000"/>
                <w:szCs w:val="21"/>
              </w:rPr>
            </w:pPr>
            <w:r>
              <w:rPr>
                <w:rFonts w:ascii="Times New Roman" w:hAnsi="Times New Roman"/>
                <w:color w:val="000000"/>
                <w:szCs w:val="21"/>
              </w:rPr>
              <w:t>GB 18582-2008</w:t>
            </w:r>
          </w:p>
        </w:tc>
        <w:tc>
          <w:tcPr>
            <w:tcW w:w="2262" w:type="dxa"/>
            <w:vAlign w:val="center"/>
          </w:tcPr>
          <w:p>
            <w:pPr>
              <w:jc w:val="center"/>
              <w:rPr>
                <w:rFonts w:ascii="Times New Roman" w:hAnsi="Times New Roman"/>
                <w:color w:val="000000"/>
                <w:szCs w:val="21"/>
              </w:rPr>
            </w:pPr>
            <w:r>
              <w:rPr>
                <w:rFonts w:ascii="Times New Roman" w:hAnsi="Times New Roman"/>
                <w:color w:val="000000"/>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2</w:t>
            </w:r>
          </w:p>
        </w:tc>
        <w:tc>
          <w:tcPr>
            <w:tcW w:w="353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苯、甲苯、乙苯和二甲苯含量总和</w:t>
            </w:r>
          </w:p>
        </w:tc>
        <w:tc>
          <w:tcPr>
            <w:tcW w:w="2551" w:type="dxa"/>
          </w:tcPr>
          <w:p>
            <w:pPr>
              <w:jc w:val="center"/>
            </w:pPr>
            <w:r>
              <w:rPr>
                <w:rFonts w:ascii="Times New Roman" w:hAnsi="Times New Roman"/>
                <w:color w:val="000000"/>
                <w:szCs w:val="21"/>
              </w:rPr>
              <w:t>GB 18582-2008</w:t>
            </w:r>
          </w:p>
        </w:tc>
        <w:tc>
          <w:tcPr>
            <w:tcW w:w="2262" w:type="dxa"/>
          </w:tcPr>
          <w:p>
            <w:pPr>
              <w:jc w:val="center"/>
            </w:pPr>
            <w:r>
              <w:rPr>
                <w:rFonts w:ascii="Times New Roman" w:hAnsi="Times New Roman"/>
                <w:color w:val="000000"/>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353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挥发性有机化合物含量（V</w:t>
            </w:r>
            <w:r>
              <w:rPr>
                <w:rFonts w:ascii="Times New Roman" w:hAnsi="Times New Roman"/>
                <w:color w:val="000000"/>
                <w:szCs w:val="21"/>
              </w:rPr>
              <w:t>OC</w:t>
            </w:r>
            <w:r>
              <w:rPr>
                <w:rFonts w:hint="eastAsia" w:ascii="Times New Roman" w:hAnsi="Times New Roman"/>
                <w:color w:val="000000"/>
                <w:szCs w:val="21"/>
              </w:rPr>
              <w:t>）</w:t>
            </w:r>
          </w:p>
        </w:tc>
        <w:tc>
          <w:tcPr>
            <w:tcW w:w="2551" w:type="dxa"/>
          </w:tcPr>
          <w:p>
            <w:pPr>
              <w:jc w:val="center"/>
            </w:pPr>
            <w:r>
              <w:rPr>
                <w:rFonts w:ascii="Times New Roman" w:hAnsi="Times New Roman"/>
                <w:color w:val="000000"/>
                <w:szCs w:val="21"/>
              </w:rPr>
              <w:t>GB 18582-2008</w:t>
            </w:r>
          </w:p>
        </w:tc>
        <w:tc>
          <w:tcPr>
            <w:tcW w:w="2262" w:type="dxa"/>
          </w:tcPr>
          <w:p>
            <w:pPr>
              <w:jc w:val="center"/>
            </w:pPr>
            <w:r>
              <w:rPr>
                <w:rFonts w:ascii="Times New Roman" w:hAnsi="Times New Roman"/>
                <w:color w:val="000000"/>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3539"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可溶性重金属（铅、镉、铬、汞）</w:t>
            </w:r>
          </w:p>
        </w:tc>
        <w:tc>
          <w:tcPr>
            <w:tcW w:w="2551" w:type="dxa"/>
          </w:tcPr>
          <w:p>
            <w:pPr>
              <w:jc w:val="center"/>
            </w:pPr>
            <w:r>
              <w:rPr>
                <w:rFonts w:ascii="Times New Roman" w:hAnsi="Times New Roman"/>
                <w:color w:val="000000"/>
                <w:szCs w:val="21"/>
              </w:rPr>
              <w:t>GB 18582-2008</w:t>
            </w:r>
          </w:p>
        </w:tc>
        <w:tc>
          <w:tcPr>
            <w:tcW w:w="2262" w:type="dxa"/>
          </w:tcPr>
          <w:p>
            <w:pPr>
              <w:jc w:val="center"/>
            </w:pPr>
            <w:r>
              <w:rPr>
                <w:rFonts w:ascii="Times New Roman" w:hAnsi="Times New Roman"/>
                <w:color w:val="000000"/>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3539" w:type="dxa"/>
            <w:vAlign w:val="center"/>
          </w:tcPr>
          <w:p>
            <w:pPr>
              <w:snapToGrid w:val="0"/>
              <w:jc w:val="center"/>
              <w:rPr>
                <w:rFonts w:ascii="Times New Roman" w:hAnsi="Times New Roman"/>
                <w:color w:val="auto"/>
                <w:szCs w:val="21"/>
              </w:rPr>
            </w:pPr>
            <w:r>
              <w:rPr>
                <w:rFonts w:hint="eastAsia" w:ascii="Times New Roman" w:hAnsi="Times New Roman"/>
                <w:color w:val="auto"/>
                <w:szCs w:val="21"/>
              </w:rPr>
              <w:t>对比率</w:t>
            </w:r>
          </w:p>
        </w:tc>
        <w:tc>
          <w:tcPr>
            <w:tcW w:w="2551" w:type="dxa"/>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9756-2018</w:t>
            </w:r>
          </w:p>
        </w:tc>
        <w:tc>
          <w:tcPr>
            <w:tcW w:w="2262" w:type="dxa"/>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23981-2009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6</w:t>
            </w:r>
          </w:p>
        </w:tc>
        <w:tc>
          <w:tcPr>
            <w:tcW w:w="3539" w:type="dxa"/>
            <w:vAlign w:val="center"/>
          </w:tcPr>
          <w:p>
            <w:pPr>
              <w:snapToGrid w:val="0"/>
              <w:jc w:val="center"/>
              <w:rPr>
                <w:rFonts w:ascii="Times New Roman" w:hAnsi="Times New Roman"/>
                <w:color w:val="auto"/>
                <w:szCs w:val="21"/>
              </w:rPr>
            </w:pPr>
            <w:r>
              <w:rPr>
                <w:rFonts w:hint="eastAsia" w:ascii="Times New Roman" w:hAnsi="Times New Roman"/>
                <w:color w:val="auto"/>
                <w:szCs w:val="21"/>
              </w:rPr>
              <w:t>耐洗刷性</w:t>
            </w:r>
            <w:bookmarkStart w:id="0" w:name="_GoBack"/>
            <w:bookmarkEnd w:id="0"/>
          </w:p>
        </w:tc>
        <w:tc>
          <w:tcPr>
            <w:tcW w:w="2551" w:type="dxa"/>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9756-2018</w:t>
            </w:r>
          </w:p>
        </w:tc>
        <w:tc>
          <w:tcPr>
            <w:tcW w:w="2262" w:type="dxa"/>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9756-2018</w:t>
            </w:r>
          </w:p>
        </w:tc>
      </w:tr>
    </w:tbl>
    <w:p>
      <w:pPr>
        <w:snapToGrid w:val="0"/>
        <w:spacing w:line="440" w:lineRule="exact"/>
        <w:jc w:val="center"/>
        <w:rPr>
          <w:rFonts w:ascii="Times New Roman" w:hAnsi="Times New Roman" w:eastAsia="黑体"/>
          <w:color w:val="000000"/>
          <w:szCs w:val="21"/>
        </w:rPr>
      </w:pPr>
      <w:r>
        <w:rPr>
          <w:rFonts w:hint="eastAsia" w:ascii="Times New Roman" w:hAnsi="Times New Roman" w:eastAsia="黑体"/>
          <w:color w:val="000000"/>
          <w:szCs w:val="21"/>
        </w:rPr>
        <w:t>外墙涂料检测项目及检测方法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544"/>
        <w:gridCol w:w="2551"/>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17" w:type="dxa"/>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3544" w:type="dxa"/>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2551" w:type="dxa"/>
            <w:vAlign w:val="center"/>
          </w:tcPr>
          <w:p>
            <w:pPr>
              <w:spacing w:line="440" w:lineRule="exact"/>
              <w:jc w:val="center"/>
              <w:textAlignment w:val="center"/>
              <w:rPr>
                <w:rFonts w:ascii="Times New Roman" w:hAnsi="Times New Roman"/>
                <w:szCs w:val="21"/>
              </w:rPr>
            </w:pPr>
            <w:r>
              <w:rPr>
                <w:rFonts w:hint="eastAsia" w:ascii="Times New Roman" w:hAnsi="Times New Roman"/>
                <w:color w:val="000000"/>
                <w:szCs w:val="21"/>
              </w:rPr>
              <w:t>判定依据</w:t>
            </w:r>
          </w:p>
        </w:tc>
        <w:tc>
          <w:tcPr>
            <w:tcW w:w="2262" w:type="dxa"/>
            <w:vAlign w:val="center"/>
          </w:tcPr>
          <w:p>
            <w:pPr>
              <w:spacing w:line="440" w:lineRule="exact"/>
              <w:jc w:val="center"/>
              <w:textAlignment w:val="center"/>
              <w:rPr>
                <w:rFonts w:ascii="Times New Roman" w:hAnsi="Times New Roman"/>
                <w:color w:val="000000"/>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35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游离甲醛含量（限水性外墙涂料）</w:t>
            </w:r>
          </w:p>
        </w:tc>
        <w:tc>
          <w:tcPr>
            <w:tcW w:w="2551" w:type="dxa"/>
            <w:vAlign w:val="center"/>
          </w:tcPr>
          <w:p>
            <w:pPr>
              <w:jc w:val="center"/>
              <w:rPr>
                <w:rFonts w:ascii="Times New Roman" w:hAnsi="Times New Roman"/>
                <w:color w:val="000000"/>
                <w:szCs w:val="21"/>
              </w:rPr>
            </w:pPr>
            <w:r>
              <w:rPr>
                <w:rFonts w:ascii="Times New Roman" w:hAnsi="Times New Roman"/>
                <w:color w:val="000000"/>
                <w:szCs w:val="21"/>
              </w:rPr>
              <w:t>GB 24408-2009</w:t>
            </w:r>
          </w:p>
        </w:tc>
        <w:tc>
          <w:tcPr>
            <w:tcW w:w="2262" w:type="dxa"/>
            <w:vAlign w:val="center"/>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2</w:t>
            </w:r>
          </w:p>
        </w:tc>
        <w:tc>
          <w:tcPr>
            <w:tcW w:w="35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苯含量（限溶剂型外墙涂料）</w:t>
            </w:r>
          </w:p>
        </w:tc>
        <w:tc>
          <w:tcPr>
            <w:tcW w:w="2551" w:type="dxa"/>
            <w:vAlign w:val="center"/>
          </w:tcPr>
          <w:p>
            <w:pPr>
              <w:jc w:val="center"/>
              <w:rPr>
                <w:rFonts w:ascii="Times New Roman" w:hAnsi="Times New Roman"/>
                <w:color w:val="000000"/>
                <w:szCs w:val="21"/>
              </w:rPr>
            </w:pPr>
            <w:r>
              <w:rPr>
                <w:rFonts w:ascii="Times New Roman" w:hAnsi="Times New Roman"/>
                <w:color w:val="000000"/>
                <w:szCs w:val="21"/>
              </w:rPr>
              <w:t>GB 24408-2009</w:t>
            </w:r>
          </w:p>
        </w:tc>
        <w:tc>
          <w:tcPr>
            <w:tcW w:w="2262" w:type="dxa"/>
            <w:vAlign w:val="center"/>
          </w:tcPr>
          <w:p>
            <w:pPr>
              <w:jc w:val="center"/>
              <w:rPr>
                <w:rFonts w:ascii="Times New Roman" w:hAnsi="Times New Roman"/>
                <w:color w:val="000000"/>
                <w:szCs w:val="21"/>
              </w:rPr>
            </w:pPr>
            <w:r>
              <w:rPr>
                <w:rFonts w:ascii="Times New Roman" w:hAnsi="Times New Roman"/>
                <w:color w:val="000000"/>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3</w:t>
            </w:r>
          </w:p>
        </w:tc>
        <w:tc>
          <w:tcPr>
            <w:tcW w:w="35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甲苯、乙苯和二甲苯含量总和（限溶剂型外墙涂料）</w:t>
            </w:r>
          </w:p>
        </w:tc>
        <w:tc>
          <w:tcPr>
            <w:tcW w:w="2551" w:type="dxa"/>
            <w:vAlign w:val="center"/>
          </w:tcPr>
          <w:p>
            <w:pPr>
              <w:jc w:val="center"/>
            </w:pPr>
            <w:r>
              <w:rPr>
                <w:rFonts w:ascii="Times New Roman" w:hAnsi="Times New Roman"/>
                <w:color w:val="000000"/>
                <w:szCs w:val="21"/>
              </w:rPr>
              <w:t>GB 24408-2009</w:t>
            </w:r>
          </w:p>
        </w:tc>
        <w:tc>
          <w:tcPr>
            <w:tcW w:w="2262" w:type="dxa"/>
            <w:vAlign w:val="center"/>
          </w:tcPr>
          <w:p>
            <w:pPr>
              <w:jc w:val="center"/>
            </w:pPr>
            <w:r>
              <w:rPr>
                <w:rFonts w:ascii="Times New Roman" w:hAnsi="Times New Roman"/>
                <w:color w:val="000000"/>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3544" w:type="dxa"/>
            <w:vAlign w:val="center"/>
          </w:tcPr>
          <w:p>
            <w:pPr>
              <w:snapToGrid w:val="0"/>
              <w:jc w:val="center"/>
              <w:rPr>
                <w:rFonts w:ascii="Times New Roman" w:hAnsi="Times New Roman"/>
                <w:szCs w:val="21"/>
              </w:rPr>
            </w:pPr>
            <w:r>
              <w:rPr>
                <w:rFonts w:hint="eastAsia" w:ascii="Times New Roman" w:hAnsi="Times New Roman"/>
                <w:szCs w:val="21"/>
              </w:rPr>
              <w:t>挥发性有机化合物含量（V</w:t>
            </w:r>
            <w:r>
              <w:rPr>
                <w:rFonts w:ascii="Times New Roman" w:hAnsi="Times New Roman"/>
                <w:szCs w:val="21"/>
              </w:rPr>
              <w:t>OC</w:t>
            </w:r>
            <w:r>
              <w:rPr>
                <w:rFonts w:hint="eastAsia" w:ascii="Times New Roman" w:hAnsi="Times New Roman"/>
                <w:szCs w:val="21"/>
              </w:rPr>
              <w:t>）</w:t>
            </w:r>
          </w:p>
        </w:tc>
        <w:tc>
          <w:tcPr>
            <w:tcW w:w="2551" w:type="dxa"/>
            <w:vAlign w:val="center"/>
          </w:tcPr>
          <w:p>
            <w:pPr>
              <w:jc w:val="center"/>
            </w:pPr>
            <w:r>
              <w:rPr>
                <w:rFonts w:ascii="Times New Roman" w:hAnsi="Times New Roman"/>
                <w:color w:val="000000"/>
                <w:szCs w:val="21"/>
              </w:rPr>
              <w:t>GB 24408-2009</w:t>
            </w:r>
          </w:p>
        </w:tc>
        <w:tc>
          <w:tcPr>
            <w:tcW w:w="2262" w:type="dxa"/>
            <w:vAlign w:val="center"/>
          </w:tcPr>
          <w:p>
            <w:pPr>
              <w:jc w:val="center"/>
            </w:pPr>
            <w:r>
              <w:rPr>
                <w:rFonts w:ascii="Times New Roman" w:hAnsi="Times New Roman"/>
                <w:color w:val="000000"/>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354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重金属含量（铅、镉、六价铬、汞）（限色漆和腻子）</w:t>
            </w:r>
          </w:p>
        </w:tc>
        <w:tc>
          <w:tcPr>
            <w:tcW w:w="2551" w:type="dxa"/>
            <w:vAlign w:val="center"/>
          </w:tcPr>
          <w:p>
            <w:pPr>
              <w:jc w:val="center"/>
            </w:pPr>
            <w:r>
              <w:rPr>
                <w:rFonts w:ascii="Times New Roman" w:hAnsi="Times New Roman"/>
                <w:color w:val="000000"/>
                <w:szCs w:val="21"/>
              </w:rPr>
              <w:t>GB 24408-2009</w:t>
            </w:r>
          </w:p>
        </w:tc>
        <w:tc>
          <w:tcPr>
            <w:tcW w:w="2262" w:type="dxa"/>
            <w:vAlign w:val="center"/>
          </w:tcPr>
          <w:p>
            <w:pPr>
              <w:jc w:val="center"/>
            </w:pPr>
            <w:r>
              <w:rPr>
                <w:rFonts w:ascii="Times New Roman" w:hAnsi="Times New Roman"/>
                <w:color w:val="000000"/>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6</w:t>
            </w:r>
          </w:p>
        </w:tc>
        <w:tc>
          <w:tcPr>
            <w:tcW w:w="3544" w:type="dxa"/>
            <w:vAlign w:val="center"/>
          </w:tcPr>
          <w:p>
            <w:pPr>
              <w:snapToGrid w:val="0"/>
              <w:jc w:val="center"/>
              <w:rPr>
                <w:rFonts w:ascii="Times New Roman" w:hAnsi="Times New Roman"/>
                <w:color w:val="auto"/>
                <w:szCs w:val="21"/>
              </w:rPr>
            </w:pPr>
            <w:r>
              <w:rPr>
                <w:rFonts w:hint="eastAsia" w:ascii="Times New Roman" w:hAnsi="Times New Roman"/>
                <w:color w:val="auto"/>
                <w:szCs w:val="21"/>
              </w:rPr>
              <w:t>对比率</w:t>
            </w:r>
          </w:p>
        </w:tc>
        <w:tc>
          <w:tcPr>
            <w:tcW w:w="2551" w:type="dxa"/>
            <w:vAlign w:val="center"/>
          </w:tcPr>
          <w:p>
            <w:pPr>
              <w:jc w:val="center"/>
              <w:rPr>
                <w:rFonts w:ascii="Times New Roman" w:hAnsi="Times New Roman"/>
                <w:color w:val="000000"/>
                <w:szCs w:val="21"/>
              </w:rPr>
            </w:pPr>
            <w:r>
              <w:rPr>
                <w:rFonts w:ascii="Times New Roman" w:hAnsi="Times New Roman"/>
                <w:color w:val="000000"/>
                <w:szCs w:val="21"/>
              </w:rPr>
              <w:t>GB/T 9755-2014</w:t>
            </w:r>
          </w:p>
        </w:tc>
        <w:tc>
          <w:tcPr>
            <w:tcW w:w="2262" w:type="dxa"/>
            <w:vAlign w:val="center"/>
          </w:tcPr>
          <w:p>
            <w:pPr>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23981-2009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7</w:t>
            </w:r>
          </w:p>
        </w:tc>
        <w:tc>
          <w:tcPr>
            <w:tcW w:w="3544" w:type="dxa"/>
            <w:vAlign w:val="center"/>
          </w:tcPr>
          <w:p>
            <w:pPr>
              <w:snapToGrid w:val="0"/>
              <w:jc w:val="center"/>
              <w:rPr>
                <w:rFonts w:ascii="Times New Roman" w:hAnsi="Times New Roman"/>
                <w:color w:val="auto"/>
                <w:szCs w:val="21"/>
              </w:rPr>
            </w:pPr>
            <w:r>
              <w:rPr>
                <w:rFonts w:hint="eastAsia" w:ascii="Times New Roman" w:hAnsi="Times New Roman"/>
                <w:color w:val="auto"/>
                <w:szCs w:val="21"/>
              </w:rPr>
              <w:t>耐洗刷性</w:t>
            </w:r>
          </w:p>
        </w:tc>
        <w:tc>
          <w:tcPr>
            <w:tcW w:w="2551" w:type="dxa"/>
            <w:vAlign w:val="center"/>
          </w:tcPr>
          <w:p>
            <w:pPr>
              <w:jc w:val="center"/>
              <w:rPr>
                <w:rFonts w:ascii="Times New Roman" w:hAnsi="Times New Roman"/>
                <w:color w:val="000000"/>
                <w:szCs w:val="21"/>
              </w:rPr>
            </w:pPr>
            <w:r>
              <w:rPr>
                <w:rFonts w:ascii="Times New Roman" w:hAnsi="Times New Roman"/>
                <w:color w:val="000000"/>
                <w:szCs w:val="21"/>
              </w:rPr>
              <w:t>GB/T 9755-2014</w:t>
            </w:r>
          </w:p>
        </w:tc>
        <w:tc>
          <w:tcPr>
            <w:tcW w:w="2262" w:type="dxa"/>
            <w:vAlign w:val="center"/>
          </w:tcPr>
          <w:p>
            <w:pPr>
              <w:jc w:val="center"/>
              <w:rPr>
                <w:rFonts w:ascii="Times New Roman" w:hAnsi="Times New Roman"/>
                <w:color w:val="000000"/>
                <w:szCs w:val="21"/>
              </w:rPr>
            </w:pPr>
            <w:r>
              <w:rPr>
                <w:rFonts w:ascii="Times New Roman" w:hAnsi="Times New Roman"/>
                <w:color w:val="000000"/>
                <w:szCs w:val="21"/>
              </w:rPr>
              <w:t>GB/T 9755-2014</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rPr>
          <w:rFonts w:ascii="Times New Roman" w:hAnsi="Times New Roman" w:eastAsia="仿宋"/>
          <w:b/>
          <w:bCs/>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 18582-2008 </w:t>
      </w:r>
      <w:r>
        <w:rPr>
          <w:rFonts w:hint="eastAsia" w:ascii="Times New Roman" w:hAnsi="Times New Roman"/>
          <w:color w:val="000000"/>
          <w:szCs w:val="21"/>
        </w:rPr>
        <w:t>室内装饰装修材料 内墙涂料中有害物质限量</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 24408-2009 </w:t>
      </w:r>
      <w:r>
        <w:rPr>
          <w:rFonts w:hint="eastAsia" w:ascii="Times New Roman" w:hAnsi="Times New Roman"/>
          <w:color w:val="000000"/>
          <w:szCs w:val="21"/>
        </w:rPr>
        <w:t>建筑用外墙涂料中有害物质限量</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GB/T 9755-2014</w:t>
      </w:r>
      <w:r>
        <w:rPr>
          <w:rFonts w:hint="eastAsia" w:ascii="Times New Roman" w:hAnsi="Times New Roman"/>
          <w:color w:val="000000"/>
          <w:szCs w:val="21"/>
        </w:rPr>
        <w:t>合成树脂乳液外墙涂料</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 xml:space="preserve">GB/T 9756-2018 </w:t>
      </w:r>
      <w:r>
        <w:rPr>
          <w:rFonts w:hint="eastAsia" w:ascii="Times New Roman" w:hAnsi="Times New Roman"/>
          <w:color w:val="000000"/>
          <w:szCs w:val="21"/>
        </w:rPr>
        <w:t>合成树脂乳液内墙涂料</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23981-2009 </w:t>
      </w:r>
      <w:r>
        <w:rPr>
          <w:rFonts w:hint="eastAsia" w:ascii="Times New Roman" w:hAnsi="Times New Roman"/>
          <w:color w:val="000000"/>
          <w:szCs w:val="21"/>
        </w:rPr>
        <w:t>白色和浅色漆对比率的测定</w:t>
      </w:r>
    </w:p>
    <w:p>
      <w:pPr>
        <w:snapToGrid w:val="0"/>
        <w:spacing w:line="360" w:lineRule="auto"/>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23993-2009 </w:t>
      </w:r>
      <w:r>
        <w:rPr>
          <w:rFonts w:hint="eastAsia" w:ascii="Times New Roman" w:hAnsi="Times New Roman"/>
          <w:color w:val="000000"/>
          <w:szCs w:val="21"/>
        </w:rPr>
        <w:t>水性涂料中甲醛含量的测定 乙酰丙酮分光光度法</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30852"/>
    <w:rsid w:val="00052D0A"/>
    <w:rsid w:val="0006741A"/>
    <w:rsid w:val="00080190"/>
    <w:rsid w:val="000A0C0F"/>
    <w:rsid w:val="000A1F68"/>
    <w:rsid w:val="000F241A"/>
    <w:rsid w:val="0010045C"/>
    <w:rsid w:val="001134E2"/>
    <w:rsid w:val="00130C21"/>
    <w:rsid w:val="0013450E"/>
    <w:rsid w:val="00135D58"/>
    <w:rsid w:val="001479E1"/>
    <w:rsid w:val="00175325"/>
    <w:rsid w:val="001960E8"/>
    <w:rsid w:val="00197FAE"/>
    <w:rsid w:val="001A6391"/>
    <w:rsid w:val="001B1ECE"/>
    <w:rsid w:val="001B3557"/>
    <w:rsid w:val="001D3021"/>
    <w:rsid w:val="001E7E75"/>
    <w:rsid w:val="001F4D89"/>
    <w:rsid w:val="00230F7B"/>
    <w:rsid w:val="002642D1"/>
    <w:rsid w:val="00283526"/>
    <w:rsid w:val="00287CFB"/>
    <w:rsid w:val="002A1067"/>
    <w:rsid w:val="002C75FA"/>
    <w:rsid w:val="002E4D24"/>
    <w:rsid w:val="002F3260"/>
    <w:rsid w:val="00301FD0"/>
    <w:rsid w:val="00342341"/>
    <w:rsid w:val="00354255"/>
    <w:rsid w:val="00355360"/>
    <w:rsid w:val="00360312"/>
    <w:rsid w:val="003611BA"/>
    <w:rsid w:val="003701D3"/>
    <w:rsid w:val="0037668C"/>
    <w:rsid w:val="003C4925"/>
    <w:rsid w:val="003E2B3F"/>
    <w:rsid w:val="004565AD"/>
    <w:rsid w:val="004A34C8"/>
    <w:rsid w:val="004A4DFC"/>
    <w:rsid w:val="004B599D"/>
    <w:rsid w:val="004C6EAB"/>
    <w:rsid w:val="004C79DF"/>
    <w:rsid w:val="004D05AF"/>
    <w:rsid w:val="00507AE0"/>
    <w:rsid w:val="0051512A"/>
    <w:rsid w:val="00560FE5"/>
    <w:rsid w:val="005878E1"/>
    <w:rsid w:val="005A7A09"/>
    <w:rsid w:val="00624B1D"/>
    <w:rsid w:val="00624DD6"/>
    <w:rsid w:val="006350F9"/>
    <w:rsid w:val="00635423"/>
    <w:rsid w:val="00652075"/>
    <w:rsid w:val="00652B40"/>
    <w:rsid w:val="00660FFF"/>
    <w:rsid w:val="00670265"/>
    <w:rsid w:val="0067449B"/>
    <w:rsid w:val="00675807"/>
    <w:rsid w:val="006C75F5"/>
    <w:rsid w:val="006F3686"/>
    <w:rsid w:val="006F6818"/>
    <w:rsid w:val="00700705"/>
    <w:rsid w:val="007032EA"/>
    <w:rsid w:val="00712FE6"/>
    <w:rsid w:val="00721DBD"/>
    <w:rsid w:val="0076570D"/>
    <w:rsid w:val="00766407"/>
    <w:rsid w:val="007C5B37"/>
    <w:rsid w:val="007E7B78"/>
    <w:rsid w:val="00801099"/>
    <w:rsid w:val="00812373"/>
    <w:rsid w:val="0081765C"/>
    <w:rsid w:val="008536DB"/>
    <w:rsid w:val="00863267"/>
    <w:rsid w:val="00863F48"/>
    <w:rsid w:val="00872CC4"/>
    <w:rsid w:val="008737DB"/>
    <w:rsid w:val="008B4A07"/>
    <w:rsid w:val="008C2D89"/>
    <w:rsid w:val="008E4C32"/>
    <w:rsid w:val="008F131B"/>
    <w:rsid w:val="00910C47"/>
    <w:rsid w:val="00911043"/>
    <w:rsid w:val="00933214"/>
    <w:rsid w:val="00963128"/>
    <w:rsid w:val="009740D6"/>
    <w:rsid w:val="009A6925"/>
    <w:rsid w:val="009B3AF3"/>
    <w:rsid w:val="009B48C4"/>
    <w:rsid w:val="009C1C38"/>
    <w:rsid w:val="009D2CD9"/>
    <w:rsid w:val="009D2E2A"/>
    <w:rsid w:val="009E6086"/>
    <w:rsid w:val="009F189F"/>
    <w:rsid w:val="00A055B0"/>
    <w:rsid w:val="00A0674B"/>
    <w:rsid w:val="00A45E64"/>
    <w:rsid w:val="00A5157E"/>
    <w:rsid w:val="00A66A3D"/>
    <w:rsid w:val="00A7543F"/>
    <w:rsid w:val="00A77E8A"/>
    <w:rsid w:val="00A916BA"/>
    <w:rsid w:val="00AB2350"/>
    <w:rsid w:val="00AB462B"/>
    <w:rsid w:val="00AE1821"/>
    <w:rsid w:val="00AE471A"/>
    <w:rsid w:val="00AE5734"/>
    <w:rsid w:val="00AF5572"/>
    <w:rsid w:val="00B22498"/>
    <w:rsid w:val="00B51584"/>
    <w:rsid w:val="00B54E2B"/>
    <w:rsid w:val="00B55224"/>
    <w:rsid w:val="00B80476"/>
    <w:rsid w:val="00B97F97"/>
    <w:rsid w:val="00BA4B76"/>
    <w:rsid w:val="00BD109E"/>
    <w:rsid w:val="00BD2490"/>
    <w:rsid w:val="00C075F6"/>
    <w:rsid w:val="00C17712"/>
    <w:rsid w:val="00C17F20"/>
    <w:rsid w:val="00C207B1"/>
    <w:rsid w:val="00C21785"/>
    <w:rsid w:val="00C345BB"/>
    <w:rsid w:val="00C46A22"/>
    <w:rsid w:val="00C57739"/>
    <w:rsid w:val="00C9467F"/>
    <w:rsid w:val="00CA58E7"/>
    <w:rsid w:val="00CD0330"/>
    <w:rsid w:val="00CD3877"/>
    <w:rsid w:val="00CF5F1B"/>
    <w:rsid w:val="00D1325F"/>
    <w:rsid w:val="00D15332"/>
    <w:rsid w:val="00D31DB4"/>
    <w:rsid w:val="00D44FDC"/>
    <w:rsid w:val="00D469A4"/>
    <w:rsid w:val="00D6657B"/>
    <w:rsid w:val="00D732ED"/>
    <w:rsid w:val="00D85C2A"/>
    <w:rsid w:val="00D879A0"/>
    <w:rsid w:val="00D92B01"/>
    <w:rsid w:val="00D9506C"/>
    <w:rsid w:val="00DC0140"/>
    <w:rsid w:val="00DD7E3B"/>
    <w:rsid w:val="00E1489E"/>
    <w:rsid w:val="00E155ED"/>
    <w:rsid w:val="00E24FC8"/>
    <w:rsid w:val="00E55DC8"/>
    <w:rsid w:val="00E63822"/>
    <w:rsid w:val="00E96130"/>
    <w:rsid w:val="00EF0AC2"/>
    <w:rsid w:val="00EF2B9F"/>
    <w:rsid w:val="00FA2884"/>
    <w:rsid w:val="00FA45C8"/>
    <w:rsid w:val="00FA59DC"/>
    <w:rsid w:val="00FA7FEC"/>
    <w:rsid w:val="00FC0C80"/>
    <w:rsid w:val="00FE1549"/>
    <w:rsid w:val="01757279"/>
    <w:rsid w:val="02394E6E"/>
    <w:rsid w:val="071C39DD"/>
    <w:rsid w:val="0C3020D5"/>
    <w:rsid w:val="14707C4A"/>
    <w:rsid w:val="14A748C1"/>
    <w:rsid w:val="29817179"/>
    <w:rsid w:val="2C062286"/>
    <w:rsid w:val="44412850"/>
    <w:rsid w:val="4A1D0919"/>
    <w:rsid w:val="55CC633D"/>
    <w:rsid w:val="5D94434D"/>
    <w:rsid w:val="60D566FD"/>
    <w:rsid w:val="61D054C2"/>
    <w:rsid w:val="61F5033B"/>
    <w:rsid w:val="652F585C"/>
    <w:rsid w:val="723415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C9B234-858A-4C78-B866-83735AD99F59}">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225</Words>
  <Characters>1287</Characters>
  <Lines>10</Lines>
  <Paragraphs>3</Paragraphs>
  <TotalTime>0</TotalTime>
  <ScaleCrop>false</ScaleCrop>
  <LinksUpToDate>false</LinksUpToDate>
  <CharactersWithSpaces>1509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2019-12-09T02:31:00Z</dcterms:created>
  <dc:creator>lenovo</dc:creator>
  <cp:lastModifiedBy>兰倩</cp:lastModifiedBy>
  <dcterms:modified xsi:type="dcterms:W3CDTF">2020-09-22T07:55:12Z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