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heme="majorEastAsia" w:hAnsiTheme="majorEastAsia" w:eastAsiaTheme="majorEastAsia" w:cstheme="majorEastAsia"/>
          <w:color w:val="000000"/>
          <w:sz w:val="32"/>
          <w:szCs w:val="32"/>
        </w:rPr>
      </w:pPr>
      <w:r>
        <w:rPr>
          <w:rFonts w:hint="eastAsia" w:asciiTheme="majorEastAsia" w:hAnsiTheme="majorEastAsia" w:eastAsiaTheme="majorEastAsia" w:cstheme="majorEastAsia"/>
          <w:color w:val="000000"/>
          <w:sz w:val="32"/>
          <w:szCs w:val="32"/>
        </w:rPr>
        <w:t>油漆西藏自治区</w:t>
      </w:r>
      <w:r>
        <w:rPr>
          <w:rFonts w:hint="eastAsia" w:asciiTheme="majorEastAsia" w:hAnsiTheme="majorEastAsia" w:eastAsiaTheme="majorEastAsia" w:cstheme="majorEastAsia"/>
          <w:color w:val="000000"/>
          <w:sz w:val="32"/>
          <w:szCs w:val="32"/>
        </w:rPr>
        <w:t>产品质量监督抽查实施细则</w:t>
      </w:r>
    </w:p>
    <w:p>
      <w:pPr>
        <w:wordWrap w:val="0"/>
        <w:adjustRightInd w:val="0"/>
        <w:snapToGrid w:val="0"/>
        <w:spacing w:line="594" w:lineRule="exact"/>
        <w:jc w:val="right"/>
        <w:rPr>
          <w:rFonts w:ascii="Times New Roman" w:hAnsi="Times New Roman" w:eastAsia="方正小标宋简体" w:cs="方正仿宋简体"/>
          <w:color w:val="000000"/>
          <w:sz w:val="28"/>
          <w:szCs w:val="28"/>
        </w:rPr>
      </w:pPr>
      <w:bookmarkStart w:id="0" w:name="_GoBack"/>
      <w:bookmarkEnd w:id="0"/>
      <w:r>
        <w:rPr>
          <w:rFonts w:eastAsia="方正小标宋简体" w:cs="方正仿宋简体"/>
          <w:color w:val="000000"/>
          <w:sz w:val="28"/>
          <w:szCs w:val="28"/>
        </w:rPr>
        <w:t>20</w:t>
      </w:r>
      <w:r>
        <w:rPr>
          <w:rFonts w:hint="eastAsia" w:eastAsia="方正小标宋简体" w:cs="方正仿宋简体"/>
          <w:color w:val="000000"/>
          <w:sz w:val="28"/>
          <w:szCs w:val="28"/>
        </w:rPr>
        <w:t>-XZCCXZ-</w:t>
      </w:r>
      <w:r>
        <w:rPr>
          <w:rFonts w:eastAsia="方正小标宋简体" w:cs="方正仿宋简体"/>
          <w:color w:val="000000"/>
          <w:sz w:val="28"/>
          <w:szCs w:val="28"/>
        </w:rPr>
        <w:t>427.1</w:t>
      </w:r>
      <w:r>
        <w:rPr>
          <w:rFonts w:hint="eastAsia" w:eastAsia="方正小标宋简体" w:cs="方正仿宋简体"/>
          <w:color w:val="000000"/>
          <w:sz w:val="28"/>
          <w:szCs w:val="28"/>
        </w:rPr>
        <w:t>-2020</w:t>
      </w:r>
      <w:r>
        <w:rPr>
          <w:rFonts w:eastAsia="方正小标宋简体" w:cs="方正仿宋简体"/>
          <w:color w:val="000000"/>
          <w:sz w:val="28"/>
          <w:szCs w:val="28"/>
        </w:rPr>
        <w:t xml:space="preserve"> </w:t>
      </w: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样品</w:t>
      </w:r>
      <w:r>
        <w:rPr>
          <w:rFonts w:ascii="Times New Roman" w:hAnsi="Times New Roman"/>
          <w:color w:val="000000"/>
          <w:szCs w:val="21"/>
        </w:rPr>
        <w:t>在被抽样生产者、销售者的待销产品中</w:t>
      </w:r>
      <w:r>
        <w:rPr>
          <w:rFonts w:hint="eastAsia" w:ascii="Times New Roman" w:hAnsi="Times New Roman"/>
          <w:color w:val="000000"/>
          <w:szCs w:val="21"/>
        </w:rPr>
        <w:t>随机</w:t>
      </w:r>
      <w:r>
        <w:rPr>
          <w:rFonts w:ascii="Times New Roman" w:hAnsi="Times New Roman"/>
          <w:color w:val="000000"/>
          <w:szCs w:val="21"/>
        </w:rPr>
        <w:t>抽取</w:t>
      </w:r>
      <w:r>
        <w:rPr>
          <w:rFonts w:hint="eastAsia" w:ascii="Times New Roman" w:hAnsi="Times New Roman"/>
          <w:color w:val="000000"/>
          <w:szCs w:val="21"/>
        </w:rPr>
        <w:t>经企业检验合格或以其他方式表明合格的近期生产的商品。抽样基数满足抽样数量即可</w:t>
      </w:r>
      <w:r>
        <w:rPr>
          <w:rFonts w:ascii="Times New Roman" w:hAnsi="Times New Roman"/>
          <w:color w:val="000000"/>
          <w:szCs w:val="21"/>
        </w:rPr>
        <w:t>。</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w:t>
      </w:r>
      <w:r>
        <w:rPr>
          <w:rFonts w:hint="eastAsia" w:ascii="Times New Roman" w:hAnsi="Times New Roman"/>
          <w:color w:val="000000"/>
          <w:szCs w:val="21"/>
        </w:rPr>
        <w:t>、骰子或扑克牌</w:t>
      </w:r>
      <w:r>
        <w:rPr>
          <w:rFonts w:ascii="Times New Roman" w:hAnsi="Times New Roman"/>
          <w:color w:val="000000"/>
          <w:szCs w:val="21"/>
        </w:rPr>
        <w:t>等方法产生。</w:t>
      </w:r>
    </w:p>
    <w:p>
      <w:pPr>
        <w:adjustRightInd w:val="0"/>
        <w:snapToGrid w:val="0"/>
        <w:spacing w:line="440" w:lineRule="exact"/>
        <w:ind w:firstLine="420" w:firstLineChars="200"/>
        <w:rPr>
          <w:rFonts w:ascii="宋体" w:hAnsi="宋体"/>
          <w:szCs w:val="21"/>
        </w:rPr>
      </w:pPr>
      <w:r>
        <w:rPr>
          <w:rFonts w:hint="eastAsia" w:ascii="宋体" w:hAnsi="宋体"/>
          <w:szCs w:val="21"/>
        </w:rPr>
        <w:t>从同一批次、同一规格的产品中随机抽取2份，</w:t>
      </w:r>
      <w:r>
        <w:rPr>
          <w:rFonts w:ascii="Times New Roman" w:hAnsi="Times New Roman"/>
          <w:szCs w:val="21"/>
        </w:rPr>
        <w:t>其中</w:t>
      </w:r>
      <w:r>
        <w:rPr>
          <w:rFonts w:hint="eastAsia" w:ascii="Times New Roman" w:hAnsi="Times New Roman"/>
          <w:szCs w:val="21"/>
        </w:rPr>
        <w:t>1份</w:t>
      </w:r>
      <w:r>
        <w:rPr>
          <w:rFonts w:ascii="Times New Roman" w:hAnsi="Times New Roman"/>
          <w:szCs w:val="21"/>
        </w:rPr>
        <w:t>作为检验样品，</w:t>
      </w:r>
      <w:r>
        <w:rPr>
          <w:rFonts w:hint="eastAsia" w:ascii="Times New Roman" w:hAnsi="Times New Roman"/>
          <w:szCs w:val="21"/>
        </w:rPr>
        <w:t>1份</w:t>
      </w:r>
      <w:r>
        <w:rPr>
          <w:rFonts w:ascii="Times New Roman" w:hAnsi="Times New Roman"/>
          <w:szCs w:val="21"/>
        </w:rPr>
        <w:t>作</w:t>
      </w:r>
      <w:r>
        <w:rPr>
          <w:rFonts w:hint="eastAsia" w:ascii="宋体" w:hAnsi="宋体"/>
          <w:szCs w:val="21"/>
        </w:rPr>
        <w:t>为备用样品。</w:t>
      </w:r>
      <w:r>
        <w:rPr>
          <w:rFonts w:hint="eastAsia"/>
          <w:szCs w:val="21"/>
        </w:rPr>
        <w:t>检验用样品及备用样品分别封样，备用样品封样后存放于被抽检单位处。</w:t>
      </w:r>
    </w:p>
    <w:p>
      <w:pPr>
        <w:snapToGrid w:val="0"/>
        <w:spacing w:line="440" w:lineRule="exact"/>
        <w:ind w:firstLine="420" w:firstLineChars="200"/>
        <w:rPr>
          <w:rFonts w:ascii="Times New Roman" w:hAnsi="Times New Roman"/>
          <w:color w:val="000000"/>
          <w:szCs w:val="21"/>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snapToGrid w:val="0"/>
        <w:spacing w:line="440" w:lineRule="exact"/>
        <w:jc w:val="center"/>
        <w:rPr>
          <w:rFonts w:ascii="Times New Roman" w:hAnsi="Times New Roman" w:eastAsia="黑体"/>
          <w:color w:val="000000"/>
          <w:szCs w:val="21"/>
        </w:rPr>
      </w:pPr>
      <w:r>
        <w:rPr>
          <w:rFonts w:hint="eastAsia" w:ascii="Times New Roman" w:hAnsi="Times New Roman" w:eastAsia="黑体"/>
          <w:color w:val="000000"/>
          <w:szCs w:val="21"/>
        </w:rPr>
        <w:t>表1</w:t>
      </w:r>
      <w:r>
        <w:rPr>
          <w:rFonts w:ascii="Times New Roman" w:hAnsi="Times New Roman" w:eastAsia="黑体"/>
          <w:color w:val="000000"/>
          <w:szCs w:val="21"/>
        </w:rPr>
        <w:t xml:space="preserve"> </w:t>
      </w:r>
      <w:r>
        <w:rPr>
          <w:rFonts w:hint="eastAsia" w:ascii="Times New Roman" w:hAnsi="Times New Roman" w:eastAsia="黑体"/>
          <w:color w:val="000000"/>
          <w:szCs w:val="21"/>
        </w:rPr>
        <w:t>溶剂型醇酸木器涂料检测项目及检测方法</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3335"/>
        <w:gridCol w:w="2440"/>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44" w:type="dxa"/>
            <w:vAlign w:val="center"/>
          </w:tcPr>
          <w:p>
            <w:pPr>
              <w:spacing w:line="440" w:lineRule="exact"/>
              <w:jc w:val="center"/>
              <w:textAlignment w:val="center"/>
              <w:rPr>
                <w:rFonts w:ascii="Times New Roman" w:hAnsi="Times New Roman"/>
                <w:szCs w:val="21"/>
              </w:rPr>
            </w:pPr>
            <w:r>
              <w:rPr>
                <w:rFonts w:ascii="Times New Roman" w:hAnsi="Times New Roman"/>
              </w:rPr>
              <w:t>序号</w:t>
            </w:r>
          </w:p>
        </w:tc>
        <w:tc>
          <w:tcPr>
            <w:tcW w:w="3335" w:type="dxa"/>
            <w:vAlign w:val="center"/>
          </w:tcPr>
          <w:p>
            <w:pPr>
              <w:spacing w:line="440" w:lineRule="exact"/>
              <w:jc w:val="center"/>
              <w:textAlignment w:val="center"/>
              <w:rPr>
                <w:rFonts w:ascii="Times New Roman" w:hAnsi="Times New Roman"/>
                <w:szCs w:val="21"/>
              </w:rPr>
            </w:pPr>
            <w:r>
              <w:rPr>
                <w:rFonts w:ascii="Times New Roman" w:hAnsi="Times New Roman"/>
              </w:rPr>
              <w:t>检验项目</w:t>
            </w:r>
          </w:p>
        </w:tc>
        <w:tc>
          <w:tcPr>
            <w:tcW w:w="2440" w:type="dxa"/>
            <w:vAlign w:val="center"/>
          </w:tcPr>
          <w:p>
            <w:pPr>
              <w:spacing w:line="440" w:lineRule="exact"/>
              <w:jc w:val="center"/>
              <w:textAlignment w:val="center"/>
              <w:rPr>
                <w:rFonts w:ascii="Times New Roman" w:hAnsi="Times New Roman"/>
                <w:szCs w:val="21"/>
              </w:rPr>
            </w:pPr>
            <w:r>
              <w:rPr>
                <w:rFonts w:hint="eastAsia" w:ascii="Times New Roman" w:hAnsi="Times New Roman"/>
                <w:color w:val="000000"/>
                <w:szCs w:val="21"/>
              </w:rPr>
              <w:t>判定依据</w:t>
            </w:r>
          </w:p>
        </w:tc>
        <w:tc>
          <w:tcPr>
            <w:tcW w:w="2355" w:type="dxa"/>
          </w:tcPr>
          <w:p>
            <w:pPr>
              <w:spacing w:line="440" w:lineRule="exact"/>
              <w:jc w:val="center"/>
              <w:textAlignment w:val="center"/>
              <w:rPr>
                <w:rFonts w:ascii="Times New Roman" w:hAnsi="Times New Roman"/>
                <w:color w:val="000000"/>
                <w:szCs w:val="21"/>
              </w:rPr>
            </w:pPr>
            <w:r>
              <w:rPr>
                <w:rFonts w:hint="eastAsia" w:ascii="Times New Roman" w:hAnsi="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ascii="Times New Roman" w:hAnsi="Times New Roman"/>
                <w:color w:val="000000"/>
                <w:szCs w:val="21"/>
              </w:rPr>
              <w:t>1</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干燥时间</w:t>
            </w:r>
          </w:p>
        </w:tc>
        <w:tc>
          <w:tcPr>
            <w:tcW w:w="2440" w:type="dxa"/>
            <w:vAlign w:val="center"/>
          </w:tcPr>
          <w:p>
            <w:pPr>
              <w:jc w:val="center"/>
              <w:rPr>
                <w:rFonts w:ascii="Times New Roman" w:hAnsi="Times New Roman"/>
                <w:color w:val="000000"/>
                <w:szCs w:val="21"/>
              </w:rPr>
            </w:pPr>
            <w:r>
              <w:rPr>
                <w:rFonts w:ascii="Times New Roman" w:hAnsi="Times New Roman"/>
                <w:color w:val="000000"/>
                <w:szCs w:val="21"/>
              </w:rPr>
              <w:t>GB/T 23995-2009</w:t>
            </w:r>
          </w:p>
        </w:tc>
        <w:tc>
          <w:tcPr>
            <w:tcW w:w="2355" w:type="dxa"/>
            <w:vAlign w:val="center"/>
          </w:tcPr>
          <w:p>
            <w:pPr>
              <w:jc w:val="center"/>
              <w:rPr>
                <w:rFonts w:ascii="Times New Roman" w:hAnsi="Times New Roman"/>
                <w:color w:val="000000"/>
                <w:szCs w:val="21"/>
              </w:rPr>
            </w:pPr>
            <w:r>
              <w:rPr>
                <w:rFonts w:ascii="Times New Roman" w:hAnsi="Times New Roman"/>
                <w:color w:val="000000"/>
                <w:szCs w:val="21"/>
              </w:rPr>
              <w:t>GB/T 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2</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附着力</w:t>
            </w:r>
          </w:p>
        </w:tc>
        <w:tc>
          <w:tcPr>
            <w:tcW w:w="2440" w:type="dxa"/>
            <w:vAlign w:val="center"/>
          </w:tcPr>
          <w:p>
            <w:pPr>
              <w:jc w:val="center"/>
            </w:pPr>
            <w:r>
              <w:rPr>
                <w:rFonts w:ascii="Times New Roman" w:hAnsi="Times New Roman"/>
                <w:color w:val="000000"/>
                <w:szCs w:val="21"/>
              </w:rPr>
              <w:t>GB/T 23995-2009</w:t>
            </w:r>
          </w:p>
        </w:tc>
        <w:tc>
          <w:tcPr>
            <w:tcW w:w="2355" w:type="dxa"/>
            <w:vAlign w:val="center"/>
          </w:tcPr>
          <w:p>
            <w:pPr>
              <w:jc w:val="center"/>
              <w:rPr>
                <w:rFonts w:ascii="Times New Roman" w:hAnsi="Times New Roman"/>
                <w:color w:val="000000"/>
                <w:szCs w:val="21"/>
              </w:rPr>
            </w:pPr>
            <w:r>
              <w:rPr>
                <w:rFonts w:ascii="Times New Roman" w:hAnsi="Times New Roman"/>
                <w:color w:val="000000"/>
                <w:szCs w:val="21"/>
              </w:rPr>
              <w:t>GB/T 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3</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耐干热性</w:t>
            </w:r>
          </w:p>
        </w:tc>
        <w:tc>
          <w:tcPr>
            <w:tcW w:w="2440" w:type="dxa"/>
            <w:vAlign w:val="center"/>
          </w:tcPr>
          <w:p>
            <w:pPr>
              <w:jc w:val="center"/>
            </w:pPr>
            <w:r>
              <w:rPr>
                <w:rFonts w:ascii="Times New Roman" w:hAnsi="Times New Roman"/>
                <w:color w:val="000000"/>
                <w:szCs w:val="21"/>
              </w:rPr>
              <w:t>GB/T 23995-2009</w:t>
            </w:r>
          </w:p>
        </w:tc>
        <w:tc>
          <w:tcPr>
            <w:tcW w:w="2355" w:type="dxa"/>
            <w:vAlign w:val="center"/>
          </w:tcPr>
          <w:p>
            <w:pPr>
              <w:jc w:val="center"/>
              <w:rPr>
                <w:rFonts w:ascii="Times New Roman" w:hAnsi="Times New Roman"/>
                <w:color w:val="000000"/>
                <w:szCs w:val="21"/>
              </w:rPr>
            </w:pPr>
            <w:r>
              <w:rPr>
                <w:rFonts w:ascii="Times New Roman" w:hAnsi="Times New Roman"/>
                <w:color w:val="000000"/>
                <w:szCs w:val="21"/>
              </w:rPr>
              <w:t>GB/T 4893.3-2005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4</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耐水性</w:t>
            </w:r>
          </w:p>
        </w:tc>
        <w:tc>
          <w:tcPr>
            <w:tcW w:w="2440" w:type="dxa"/>
            <w:vAlign w:val="center"/>
          </w:tcPr>
          <w:p>
            <w:pPr>
              <w:jc w:val="center"/>
            </w:pPr>
            <w:r>
              <w:rPr>
                <w:rFonts w:ascii="Times New Roman" w:hAnsi="Times New Roman"/>
                <w:color w:val="000000"/>
                <w:szCs w:val="21"/>
              </w:rPr>
              <w:t>GB/T 23995-2009</w:t>
            </w:r>
          </w:p>
        </w:tc>
        <w:tc>
          <w:tcPr>
            <w:tcW w:w="2355" w:type="dxa"/>
            <w:vAlign w:val="center"/>
          </w:tcPr>
          <w:p>
            <w:pPr>
              <w:jc w:val="center"/>
              <w:rPr>
                <w:rFonts w:ascii="Times New Roman" w:hAnsi="Times New Roman"/>
                <w:color w:val="000000"/>
                <w:szCs w:val="21"/>
              </w:rPr>
            </w:pPr>
            <w:r>
              <w:rPr>
                <w:rFonts w:ascii="Times New Roman" w:hAnsi="Times New Roman"/>
                <w:color w:val="000000"/>
                <w:szCs w:val="21"/>
              </w:rPr>
              <w:t>GB/T 4893.1-2005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5</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耐碱性</w:t>
            </w:r>
          </w:p>
        </w:tc>
        <w:tc>
          <w:tcPr>
            <w:tcW w:w="2440" w:type="dxa"/>
            <w:vAlign w:val="center"/>
          </w:tcPr>
          <w:p>
            <w:pPr>
              <w:jc w:val="center"/>
            </w:pPr>
            <w:r>
              <w:rPr>
                <w:rFonts w:ascii="Times New Roman" w:hAnsi="Times New Roman"/>
                <w:color w:val="000000"/>
                <w:szCs w:val="21"/>
              </w:rPr>
              <w:t>GB/T 23995-2009</w:t>
            </w:r>
          </w:p>
        </w:tc>
        <w:tc>
          <w:tcPr>
            <w:tcW w:w="2355" w:type="dxa"/>
            <w:vAlign w:val="center"/>
          </w:tcPr>
          <w:p>
            <w:pPr>
              <w:jc w:val="center"/>
              <w:rPr>
                <w:rFonts w:ascii="Times New Roman" w:hAnsi="Times New Roman"/>
                <w:color w:val="000000"/>
                <w:szCs w:val="21"/>
              </w:rPr>
            </w:pPr>
            <w:r>
              <w:rPr>
                <w:rFonts w:ascii="Times New Roman" w:hAnsi="Times New Roman"/>
                <w:color w:val="000000"/>
                <w:szCs w:val="21"/>
              </w:rPr>
              <w:t>GB/T 4893.1-2005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6</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挥发性有机化合物（V</w:t>
            </w:r>
            <w:r>
              <w:rPr>
                <w:rFonts w:ascii="Times New Roman" w:hAnsi="Times New Roman"/>
                <w:color w:val="000000"/>
                <w:szCs w:val="21"/>
              </w:rPr>
              <w:t>OC</w:t>
            </w:r>
            <w:r>
              <w:rPr>
                <w:rFonts w:hint="eastAsia" w:ascii="Times New Roman" w:hAnsi="Times New Roman"/>
                <w:color w:val="000000"/>
                <w:szCs w:val="21"/>
              </w:rPr>
              <w:t>）含量</w:t>
            </w:r>
          </w:p>
        </w:tc>
        <w:tc>
          <w:tcPr>
            <w:tcW w:w="2440"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c>
          <w:tcPr>
            <w:tcW w:w="2355"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7</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苯含量</w:t>
            </w:r>
          </w:p>
        </w:tc>
        <w:tc>
          <w:tcPr>
            <w:tcW w:w="2440"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c>
          <w:tcPr>
            <w:tcW w:w="2355"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8</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甲苯、二甲苯、乙苯含量总和</w:t>
            </w:r>
          </w:p>
        </w:tc>
        <w:tc>
          <w:tcPr>
            <w:tcW w:w="2440" w:type="dxa"/>
            <w:vAlign w:val="center"/>
          </w:tcPr>
          <w:p>
            <w:pPr>
              <w:jc w:val="cente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c>
          <w:tcPr>
            <w:tcW w:w="2355" w:type="dxa"/>
            <w:vAlign w:val="center"/>
          </w:tcPr>
          <w:p>
            <w:pPr>
              <w:jc w:val="cente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9</w:t>
            </w:r>
          </w:p>
        </w:tc>
        <w:tc>
          <w:tcPr>
            <w:tcW w:w="3335" w:type="dxa"/>
            <w:vAlign w:val="center"/>
          </w:tcPr>
          <w:p>
            <w:pPr>
              <w:snapToGrid w:val="0"/>
              <w:jc w:val="center"/>
              <w:rPr>
                <w:rFonts w:ascii="Times New Roman" w:hAnsi="Times New Roman"/>
                <w:color w:val="FF0000"/>
                <w:szCs w:val="21"/>
              </w:rPr>
            </w:pPr>
            <w:r>
              <w:rPr>
                <w:rFonts w:hint="eastAsia" w:ascii="Times New Roman" w:hAnsi="Times New Roman"/>
                <w:color w:val="FF0000"/>
                <w:szCs w:val="21"/>
              </w:rPr>
              <w:t>卤代烃含量</w:t>
            </w:r>
          </w:p>
        </w:tc>
        <w:tc>
          <w:tcPr>
            <w:tcW w:w="2440"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c>
          <w:tcPr>
            <w:tcW w:w="2355" w:type="dxa"/>
            <w:vAlign w:val="center"/>
          </w:tcPr>
          <w:p>
            <w:pPr>
              <w:jc w:val="cente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r>
    </w:tbl>
    <w:p>
      <w:pPr>
        <w:snapToGrid w:val="0"/>
        <w:spacing w:line="440" w:lineRule="exact"/>
        <w:jc w:val="center"/>
        <w:rPr>
          <w:rFonts w:ascii="Times New Roman" w:hAnsi="Times New Roman" w:eastAsia="黑体"/>
          <w:color w:val="000000"/>
          <w:szCs w:val="21"/>
        </w:rPr>
      </w:pPr>
      <w:r>
        <w:rPr>
          <w:rFonts w:hint="eastAsia" w:ascii="Times New Roman" w:hAnsi="Times New Roman" w:eastAsia="黑体"/>
          <w:color w:val="000000"/>
          <w:szCs w:val="21"/>
        </w:rPr>
        <w:t>表2</w:t>
      </w:r>
      <w:r>
        <w:rPr>
          <w:rFonts w:ascii="Times New Roman" w:hAnsi="Times New Roman" w:eastAsia="黑体"/>
          <w:color w:val="000000"/>
          <w:szCs w:val="21"/>
        </w:rPr>
        <w:t xml:space="preserve"> </w:t>
      </w:r>
      <w:r>
        <w:rPr>
          <w:rFonts w:hint="eastAsia" w:ascii="Times New Roman" w:hAnsi="Times New Roman" w:eastAsia="黑体"/>
          <w:color w:val="000000"/>
          <w:szCs w:val="21"/>
        </w:rPr>
        <w:t>溶剂型聚氨酯涂料（双组分）检测项目及检测方法</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3335"/>
        <w:gridCol w:w="2440"/>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44" w:type="dxa"/>
            <w:vAlign w:val="center"/>
          </w:tcPr>
          <w:p>
            <w:pPr>
              <w:spacing w:line="440" w:lineRule="exact"/>
              <w:jc w:val="center"/>
              <w:textAlignment w:val="center"/>
              <w:rPr>
                <w:rFonts w:ascii="Times New Roman" w:hAnsi="Times New Roman"/>
                <w:szCs w:val="21"/>
              </w:rPr>
            </w:pPr>
            <w:r>
              <w:rPr>
                <w:rFonts w:ascii="Times New Roman" w:hAnsi="Times New Roman"/>
              </w:rPr>
              <w:t>序号</w:t>
            </w:r>
          </w:p>
        </w:tc>
        <w:tc>
          <w:tcPr>
            <w:tcW w:w="3335" w:type="dxa"/>
            <w:vAlign w:val="center"/>
          </w:tcPr>
          <w:p>
            <w:pPr>
              <w:spacing w:line="440" w:lineRule="exact"/>
              <w:jc w:val="center"/>
              <w:textAlignment w:val="center"/>
              <w:rPr>
                <w:rFonts w:ascii="Times New Roman" w:hAnsi="Times New Roman"/>
                <w:szCs w:val="21"/>
              </w:rPr>
            </w:pPr>
            <w:r>
              <w:rPr>
                <w:rFonts w:ascii="Times New Roman" w:hAnsi="Times New Roman"/>
              </w:rPr>
              <w:t>检验项目</w:t>
            </w:r>
          </w:p>
        </w:tc>
        <w:tc>
          <w:tcPr>
            <w:tcW w:w="2440" w:type="dxa"/>
            <w:vAlign w:val="center"/>
          </w:tcPr>
          <w:p>
            <w:pPr>
              <w:spacing w:line="440" w:lineRule="exact"/>
              <w:jc w:val="center"/>
              <w:textAlignment w:val="center"/>
              <w:rPr>
                <w:rFonts w:ascii="Times New Roman" w:hAnsi="Times New Roman"/>
                <w:szCs w:val="21"/>
              </w:rPr>
            </w:pPr>
            <w:r>
              <w:rPr>
                <w:rFonts w:hint="eastAsia" w:ascii="Times New Roman" w:hAnsi="Times New Roman"/>
                <w:color w:val="000000"/>
                <w:szCs w:val="21"/>
              </w:rPr>
              <w:t>判定依据</w:t>
            </w:r>
          </w:p>
        </w:tc>
        <w:tc>
          <w:tcPr>
            <w:tcW w:w="2355" w:type="dxa"/>
          </w:tcPr>
          <w:p>
            <w:pPr>
              <w:spacing w:line="440" w:lineRule="exact"/>
              <w:jc w:val="center"/>
              <w:textAlignment w:val="center"/>
              <w:rPr>
                <w:rFonts w:ascii="Times New Roman" w:hAnsi="Times New Roman"/>
                <w:color w:val="000000"/>
                <w:szCs w:val="21"/>
              </w:rPr>
            </w:pPr>
            <w:r>
              <w:rPr>
                <w:rFonts w:hint="eastAsia" w:ascii="Times New Roman" w:hAnsi="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ascii="Times New Roman" w:hAnsi="Times New Roman"/>
                <w:color w:val="000000"/>
                <w:szCs w:val="21"/>
              </w:rPr>
              <w:t>1</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干燥时间</w:t>
            </w:r>
          </w:p>
        </w:tc>
        <w:tc>
          <w:tcPr>
            <w:tcW w:w="2440" w:type="dxa"/>
            <w:vAlign w:val="center"/>
          </w:tcPr>
          <w:p>
            <w:pPr>
              <w:jc w:val="center"/>
              <w:rPr>
                <w:rFonts w:ascii="Times New Roman" w:hAnsi="Times New Roman"/>
                <w:color w:val="000000"/>
                <w:szCs w:val="21"/>
              </w:rPr>
            </w:pPr>
            <w:r>
              <w:rPr>
                <w:rFonts w:ascii="Times New Roman" w:hAnsi="Times New Roman"/>
                <w:color w:val="000000"/>
                <w:szCs w:val="21"/>
              </w:rPr>
              <w:t>GB/T 23997-2009</w:t>
            </w:r>
          </w:p>
        </w:tc>
        <w:tc>
          <w:tcPr>
            <w:tcW w:w="2355" w:type="dxa"/>
            <w:vAlign w:val="center"/>
          </w:tcPr>
          <w:p>
            <w:pPr>
              <w:jc w:val="center"/>
              <w:rPr>
                <w:rFonts w:ascii="Times New Roman" w:hAnsi="Times New Roman"/>
                <w:color w:val="000000"/>
                <w:szCs w:val="21"/>
              </w:rPr>
            </w:pPr>
            <w:r>
              <w:rPr>
                <w:rFonts w:ascii="Times New Roman" w:hAnsi="Times New Roman"/>
                <w:color w:val="000000"/>
                <w:szCs w:val="21"/>
              </w:rPr>
              <w:t>GB/T 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2</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附着力</w:t>
            </w:r>
          </w:p>
        </w:tc>
        <w:tc>
          <w:tcPr>
            <w:tcW w:w="2440" w:type="dxa"/>
            <w:vAlign w:val="center"/>
          </w:tcPr>
          <w:p>
            <w:pPr>
              <w:jc w:val="center"/>
            </w:pPr>
            <w:r>
              <w:rPr>
                <w:rFonts w:ascii="Times New Roman" w:hAnsi="Times New Roman"/>
                <w:color w:val="000000"/>
                <w:szCs w:val="21"/>
              </w:rPr>
              <w:t>GB/T 23997-2009</w:t>
            </w:r>
          </w:p>
        </w:tc>
        <w:tc>
          <w:tcPr>
            <w:tcW w:w="2355" w:type="dxa"/>
            <w:vAlign w:val="center"/>
          </w:tcPr>
          <w:p>
            <w:pPr>
              <w:jc w:val="center"/>
              <w:rPr>
                <w:rFonts w:ascii="Times New Roman" w:hAnsi="Times New Roman"/>
                <w:color w:val="000000"/>
                <w:szCs w:val="21"/>
              </w:rPr>
            </w:pPr>
            <w:r>
              <w:rPr>
                <w:rFonts w:ascii="Times New Roman" w:hAnsi="Times New Roman"/>
                <w:color w:val="000000"/>
                <w:szCs w:val="21"/>
              </w:rPr>
              <w:t>GB/T 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3</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耐干热性（限面漆）</w:t>
            </w:r>
          </w:p>
        </w:tc>
        <w:tc>
          <w:tcPr>
            <w:tcW w:w="2440" w:type="dxa"/>
            <w:vAlign w:val="center"/>
          </w:tcPr>
          <w:p>
            <w:pPr>
              <w:jc w:val="center"/>
            </w:pPr>
            <w:r>
              <w:rPr>
                <w:rFonts w:ascii="Times New Roman" w:hAnsi="Times New Roman"/>
                <w:color w:val="000000"/>
                <w:szCs w:val="21"/>
              </w:rPr>
              <w:t>GB/T 23997-2009</w:t>
            </w:r>
          </w:p>
        </w:tc>
        <w:tc>
          <w:tcPr>
            <w:tcW w:w="2355" w:type="dxa"/>
            <w:vAlign w:val="center"/>
          </w:tcPr>
          <w:p>
            <w:pPr>
              <w:jc w:val="center"/>
              <w:rPr>
                <w:rFonts w:ascii="Times New Roman" w:hAnsi="Times New Roman"/>
                <w:color w:val="000000"/>
                <w:szCs w:val="21"/>
              </w:rPr>
            </w:pPr>
            <w:r>
              <w:rPr>
                <w:rFonts w:ascii="Times New Roman" w:hAnsi="Times New Roman"/>
                <w:color w:val="000000"/>
                <w:szCs w:val="21"/>
              </w:rPr>
              <w:t>GB/T 4893.3-2005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4</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耐水性（限面漆）</w:t>
            </w:r>
          </w:p>
        </w:tc>
        <w:tc>
          <w:tcPr>
            <w:tcW w:w="2440" w:type="dxa"/>
            <w:vAlign w:val="center"/>
          </w:tcPr>
          <w:p>
            <w:pPr>
              <w:jc w:val="center"/>
            </w:pPr>
            <w:r>
              <w:rPr>
                <w:rFonts w:ascii="Times New Roman" w:hAnsi="Times New Roman"/>
                <w:color w:val="000000"/>
                <w:szCs w:val="21"/>
              </w:rPr>
              <w:t>GB/T 23997-2009</w:t>
            </w:r>
          </w:p>
        </w:tc>
        <w:tc>
          <w:tcPr>
            <w:tcW w:w="2355" w:type="dxa"/>
            <w:vAlign w:val="center"/>
          </w:tcPr>
          <w:p>
            <w:pPr>
              <w:jc w:val="center"/>
              <w:rPr>
                <w:rFonts w:ascii="Times New Roman" w:hAnsi="Times New Roman"/>
                <w:color w:val="000000"/>
                <w:szCs w:val="21"/>
              </w:rPr>
            </w:pPr>
            <w:r>
              <w:rPr>
                <w:rFonts w:ascii="Times New Roman" w:hAnsi="Times New Roman"/>
                <w:color w:val="000000"/>
                <w:szCs w:val="21"/>
              </w:rPr>
              <w:t>GB/T 4893.1-2005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5</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耐碱性（限面漆）</w:t>
            </w:r>
          </w:p>
        </w:tc>
        <w:tc>
          <w:tcPr>
            <w:tcW w:w="2440" w:type="dxa"/>
            <w:vAlign w:val="center"/>
          </w:tcPr>
          <w:p>
            <w:pPr>
              <w:jc w:val="center"/>
            </w:pPr>
            <w:r>
              <w:rPr>
                <w:rFonts w:ascii="Times New Roman" w:hAnsi="Times New Roman"/>
                <w:color w:val="000000"/>
                <w:szCs w:val="21"/>
              </w:rPr>
              <w:t>GB/T 23997-2009</w:t>
            </w:r>
          </w:p>
        </w:tc>
        <w:tc>
          <w:tcPr>
            <w:tcW w:w="2355" w:type="dxa"/>
            <w:vAlign w:val="center"/>
          </w:tcPr>
          <w:p>
            <w:pPr>
              <w:jc w:val="center"/>
              <w:rPr>
                <w:rFonts w:ascii="Times New Roman" w:hAnsi="Times New Roman"/>
                <w:color w:val="000000"/>
                <w:szCs w:val="21"/>
              </w:rPr>
            </w:pPr>
            <w:r>
              <w:rPr>
                <w:rFonts w:ascii="Times New Roman" w:hAnsi="Times New Roman"/>
                <w:color w:val="000000"/>
                <w:szCs w:val="21"/>
              </w:rPr>
              <w:t>GB/T 4893.1-2005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6</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挥发性有机化合物含量（V</w:t>
            </w:r>
            <w:r>
              <w:rPr>
                <w:rFonts w:ascii="Times New Roman" w:hAnsi="Times New Roman"/>
                <w:color w:val="000000"/>
                <w:szCs w:val="21"/>
              </w:rPr>
              <w:t>OC</w:t>
            </w:r>
            <w:r>
              <w:rPr>
                <w:rFonts w:hint="eastAsia" w:ascii="Times New Roman" w:hAnsi="Times New Roman"/>
                <w:color w:val="000000"/>
                <w:szCs w:val="21"/>
              </w:rPr>
              <w:t>）</w:t>
            </w:r>
          </w:p>
        </w:tc>
        <w:tc>
          <w:tcPr>
            <w:tcW w:w="2440"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c>
          <w:tcPr>
            <w:tcW w:w="2355"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7</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苯含量</w:t>
            </w:r>
          </w:p>
        </w:tc>
        <w:tc>
          <w:tcPr>
            <w:tcW w:w="2440"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c>
          <w:tcPr>
            <w:tcW w:w="2355"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8</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甲苯、二甲苯、乙苯含量总和</w:t>
            </w:r>
          </w:p>
        </w:tc>
        <w:tc>
          <w:tcPr>
            <w:tcW w:w="2440" w:type="dxa"/>
            <w:vAlign w:val="center"/>
          </w:tcPr>
          <w:p>
            <w:pPr>
              <w:jc w:val="cente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c>
          <w:tcPr>
            <w:tcW w:w="2355" w:type="dxa"/>
            <w:vAlign w:val="center"/>
          </w:tcPr>
          <w:p>
            <w:pPr>
              <w:jc w:val="cente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9</w:t>
            </w:r>
          </w:p>
        </w:tc>
        <w:tc>
          <w:tcPr>
            <w:tcW w:w="3335" w:type="dxa"/>
            <w:vAlign w:val="center"/>
          </w:tcPr>
          <w:p>
            <w:pPr>
              <w:snapToGrid w:val="0"/>
              <w:jc w:val="center"/>
              <w:rPr>
                <w:rFonts w:ascii="Times New Roman" w:hAnsi="Times New Roman"/>
                <w:color w:val="FF0000"/>
                <w:szCs w:val="21"/>
              </w:rPr>
            </w:pPr>
            <w:r>
              <w:rPr>
                <w:rFonts w:hint="eastAsia" w:ascii="Times New Roman" w:hAnsi="Times New Roman"/>
                <w:color w:val="FF0000"/>
                <w:szCs w:val="21"/>
              </w:rPr>
              <w:t>卤代烃含量</w:t>
            </w:r>
          </w:p>
        </w:tc>
        <w:tc>
          <w:tcPr>
            <w:tcW w:w="2440"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c>
          <w:tcPr>
            <w:tcW w:w="2355" w:type="dxa"/>
            <w:vAlign w:val="center"/>
          </w:tcPr>
          <w:p>
            <w:pPr>
              <w:jc w:val="cente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0</w:t>
            </w:r>
          </w:p>
        </w:tc>
        <w:tc>
          <w:tcPr>
            <w:tcW w:w="3335" w:type="dxa"/>
            <w:vAlign w:val="center"/>
          </w:tcPr>
          <w:p>
            <w:pPr>
              <w:snapToGrid w:val="0"/>
              <w:jc w:val="center"/>
              <w:rPr>
                <w:rFonts w:ascii="Times New Roman" w:hAnsi="Times New Roman"/>
                <w:color w:val="FF0000"/>
                <w:szCs w:val="21"/>
              </w:rPr>
            </w:pPr>
            <w:r>
              <w:rPr>
                <w:rFonts w:hint="eastAsia" w:ascii="Times New Roman" w:hAnsi="Times New Roman"/>
                <w:color w:val="FF0000"/>
                <w:szCs w:val="21"/>
              </w:rPr>
              <w:t>游离二异氰酸酯（T</w:t>
            </w:r>
            <w:r>
              <w:rPr>
                <w:rFonts w:ascii="Times New Roman" w:hAnsi="Times New Roman"/>
                <w:color w:val="FF0000"/>
                <w:szCs w:val="21"/>
              </w:rPr>
              <w:t>DI</w:t>
            </w:r>
            <w:r>
              <w:rPr>
                <w:rFonts w:hint="eastAsia" w:ascii="Times New Roman" w:hAnsi="Times New Roman"/>
                <w:color w:val="FF0000"/>
                <w:szCs w:val="21"/>
              </w:rPr>
              <w:t>、</w:t>
            </w:r>
            <w:r>
              <w:rPr>
                <w:rFonts w:ascii="Times New Roman" w:hAnsi="Times New Roman"/>
                <w:color w:val="FF0000"/>
                <w:szCs w:val="21"/>
              </w:rPr>
              <w:t>HDI</w:t>
            </w:r>
            <w:r>
              <w:rPr>
                <w:rFonts w:hint="eastAsia" w:ascii="Times New Roman" w:hAnsi="Times New Roman"/>
                <w:color w:val="FF0000"/>
                <w:szCs w:val="21"/>
              </w:rPr>
              <w:t>）含量总和</w:t>
            </w:r>
          </w:p>
        </w:tc>
        <w:tc>
          <w:tcPr>
            <w:tcW w:w="2440"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c>
          <w:tcPr>
            <w:tcW w:w="2355" w:type="dxa"/>
            <w:vAlign w:val="center"/>
          </w:tcPr>
          <w:p>
            <w:pPr>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18446-2009</w:t>
            </w:r>
          </w:p>
        </w:tc>
      </w:tr>
    </w:tbl>
    <w:p>
      <w:pPr>
        <w:snapToGrid w:val="0"/>
        <w:spacing w:line="440" w:lineRule="exact"/>
        <w:jc w:val="center"/>
        <w:rPr>
          <w:rFonts w:ascii="Times New Roman" w:hAnsi="Times New Roman" w:eastAsia="黑体"/>
          <w:color w:val="000000"/>
          <w:szCs w:val="21"/>
        </w:rPr>
      </w:pPr>
      <w:r>
        <w:rPr>
          <w:rFonts w:hint="eastAsia" w:ascii="Times New Roman" w:hAnsi="Times New Roman" w:eastAsia="黑体"/>
          <w:color w:val="000000"/>
          <w:szCs w:val="21"/>
        </w:rPr>
        <w:t>表3</w:t>
      </w:r>
      <w:r>
        <w:rPr>
          <w:rFonts w:ascii="Times New Roman" w:hAnsi="Times New Roman" w:eastAsia="黑体"/>
          <w:color w:val="000000"/>
          <w:szCs w:val="21"/>
        </w:rPr>
        <w:t xml:space="preserve"> </w:t>
      </w:r>
      <w:r>
        <w:rPr>
          <w:rFonts w:hint="eastAsia" w:ascii="Times New Roman" w:hAnsi="Times New Roman" w:eastAsia="黑体"/>
          <w:color w:val="000000"/>
          <w:szCs w:val="21"/>
        </w:rPr>
        <w:t>醇酸树脂色漆（底漆、防锈漆、调和漆、磁漆）检测项目及检测方法</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3335"/>
        <w:gridCol w:w="2440"/>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44" w:type="dxa"/>
            <w:vAlign w:val="center"/>
          </w:tcPr>
          <w:p>
            <w:pPr>
              <w:spacing w:line="440" w:lineRule="exact"/>
              <w:jc w:val="center"/>
              <w:textAlignment w:val="center"/>
              <w:rPr>
                <w:rFonts w:ascii="Times New Roman" w:hAnsi="Times New Roman"/>
                <w:szCs w:val="21"/>
              </w:rPr>
            </w:pPr>
            <w:r>
              <w:rPr>
                <w:rFonts w:ascii="Times New Roman" w:hAnsi="Times New Roman"/>
              </w:rPr>
              <w:t>序号</w:t>
            </w:r>
          </w:p>
        </w:tc>
        <w:tc>
          <w:tcPr>
            <w:tcW w:w="3335" w:type="dxa"/>
            <w:vAlign w:val="center"/>
          </w:tcPr>
          <w:p>
            <w:pPr>
              <w:spacing w:line="440" w:lineRule="exact"/>
              <w:jc w:val="center"/>
              <w:textAlignment w:val="center"/>
              <w:rPr>
                <w:rFonts w:ascii="Times New Roman" w:hAnsi="Times New Roman"/>
                <w:szCs w:val="21"/>
              </w:rPr>
            </w:pPr>
            <w:r>
              <w:rPr>
                <w:rFonts w:ascii="Times New Roman" w:hAnsi="Times New Roman"/>
              </w:rPr>
              <w:t>检验项目</w:t>
            </w:r>
          </w:p>
        </w:tc>
        <w:tc>
          <w:tcPr>
            <w:tcW w:w="2440" w:type="dxa"/>
            <w:vAlign w:val="center"/>
          </w:tcPr>
          <w:p>
            <w:pPr>
              <w:spacing w:line="440" w:lineRule="exact"/>
              <w:jc w:val="center"/>
              <w:textAlignment w:val="center"/>
              <w:rPr>
                <w:rFonts w:ascii="Times New Roman" w:hAnsi="Times New Roman"/>
                <w:szCs w:val="21"/>
              </w:rPr>
            </w:pPr>
            <w:r>
              <w:rPr>
                <w:rFonts w:hint="eastAsia" w:ascii="Times New Roman" w:hAnsi="Times New Roman"/>
                <w:color w:val="000000"/>
                <w:szCs w:val="21"/>
              </w:rPr>
              <w:t>判定依据</w:t>
            </w:r>
          </w:p>
        </w:tc>
        <w:tc>
          <w:tcPr>
            <w:tcW w:w="2355" w:type="dxa"/>
          </w:tcPr>
          <w:p>
            <w:pPr>
              <w:spacing w:line="440" w:lineRule="exact"/>
              <w:jc w:val="center"/>
              <w:textAlignment w:val="center"/>
              <w:rPr>
                <w:rFonts w:ascii="Times New Roman" w:hAnsi="Times New Roman"/>
                <w:color w:val="000000"/>
                <w:szCs w:val="21"/>
              </w:rPr>
            </w:pPr>
            <w:r>
              <w:rPr>
                <w:rFonts w:hint="eastAsia" w:ascii="Times New Roman" w:hAnsi="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ascii="Times New Roman" w:hAnsi="Times New Roman"/>
                <w:color w:val="000000"/>
                <w:szCs w:val="21"/>
              </w:rPr>
              <w:t>1</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干燥时间</w:t>
            </w:r>
          </w:p>
        </w:tc>
        <w:tc>
          <w:tcPr>
            <w:tcW w:w="2440" w:type="dxa"/>
            <w:vAlign w:val="center"/>
          </w:tcPr>
          <w:p>
            <w:pPr>
              <w:jc w:val="center"/>
              <w:rPr>
                <w:rFonts w:ascii="Times New Roman" w:hAnsi="Times New Roman"/>
                <w:color w:val="000000"/>
                <w:szCs w:val="21"/>
              </w:rPr>
            </w:pPr>
            <w:r>
              <w:rPr>
                <w:rFonts w:ascii="Times New Roman" w:hAnsi="Times New Roman"/>
                <w:color w:val="000000"/>
                <w:szCs w:val="21"/>
              </w:rPr>
              <w:t>GB/T 25251-2010</w:t>
            </w:r>
          </w:p>
        </w:tc>
        <w:tc>
          <w:tcPr>
            <w:tcW w:w="2355" w:type="dxa"/>
            <w:vAlign w:val="center"/>
          </w:tcPr>
          <w:p>
            <w:pPr>
              <w:jc w:val="center"/>
              <w:rPr>
                <w:rFonts w:ascii="Times New Roman" w:hAnsi="Times New Roman"/>
                <w:color w:val="000000"/>
                <w:szCs w:val="21"/>
              </w:rPr>
            </w:pPr>
            <w:r>
              <w:rPr>
                <w:rFonts w:ascii="Times New Roman" w:hAnsi="Times New Roman"/>
                <w:color w:val="000000"/>
                <w:szCs w:val="21"/>
              </w:rPr>
              <w:t>GB/T 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2</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划格试验（限底漆、防锈漆）</w:t>
            </w:r>
          </w:p>
        </w:tc>
        <w:tc>
          <w:tcPr>
            <w:tcW w:w="2440" w:type="dxa"/>
            <w:vAlign w:val="center"/>
          </w:tcPr>
          <w:p>
            <w:pPr>
              <w:jc w:val="center"/>
              <w:rPr>
                <w:rFonts w:ascii="Times New Roman" w:hAnsi="Times New Roman"/>
                <w:color w:val="000000"/>
                <w:szCs w:val="21"/>
              </w:rPr>
            </w:pPr>
            <w:r>
              <w:rPr>
                <w:rFonts w:ascii="Times New Roman" w:hAnsi="Times New Roman"/>
                <w:color w:val="000000"/>
                <w:szCs w:val="21"/>
              </w:rPr>
              <w:t>GB/T 25251-2010</w:t>
            </w:r>
          </w:p>
        </w:tc>
        <w:tc>
          <w:tcPr>
            <w:tcW w:w="2355" w:type="dxa"/>
            <w:vAlign w:val="center"/>
          </w:tcPr>
          <w:p>
            <w:pPr>
              <w:jc w:val="center"/>
              <w:rPr>
                <w:rFonts w:ascii="Times New Roman" w:hAnsi="Times New Roman"/>
                <w:color w:val="000000"/>
                <w:szCs w:val="21"/>
              </w:rPr>
            </w:pPr>
            <w:r>
              <w:rPr>
                <w:rFonts w:ascii="Times New Roman" w:hAnsi="Times New Roman"/>
                <w:color w:val="000000"/>
                <w:szCs w:val="21"/>
              </w:rPr>
              <w:t>GB/T 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3</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遮盖力（限调和漆、磁漆）</w:t>
            </w:r>
          </w:p>
        </w:tc>
        <w:tc>
          <w:tcPr>
            <w:tcW w:w="2440" w:type="dxa"/>
            <w:vAlign w:val="center"/>
          </w:tcPr>
          <w:p>
            <w:pPr>
              <w:jc w:val="center"/>
            </w:pPr>
            <w:r>
              <w:rPr>
                <w:rFonts w:ascii="Times New Roman" w:hAnsi="Times New Roman"/>
                <w:color w:val="000000"/>
                <w:szCs w:val="21"/>
              </w:rPr>
              <w:t>GB/T 25251-2010</w:t>
            </w:r>
          </w:p>
        </w:tc>
        <w:tc>
          <w:tcPr>
            <w:tcW w:w="2355" w:type="dxa"/>
            <w:vAlign w:val="center"/>
          </w:tcPr>
          <w:p>
            <w:pPr>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1726-1979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4</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挥发性有机化合物（V</w:t>
            </w:r>
            <w:r>
              <w:rPr>
                <w:rFonts w:ascii="Times New Roman" w:hAnsi="Times New Roman"/>
                <w:color w:val="000000"/>
                <w:szCs w:val="21"/>
              </w:rPr>
              <w:t>OC</w:t>
            </w:r>
            <w:r>
              <w:rPr>
                <w:rFonts w:hint="eastAsia" w:ascii="Times New Roman" w:hAnsi="Times New Roman"/>
                <w:color w:val="000000"/>
                <w:szCs w:val="21"/>
              </w:rPr>
              <w:t>）含量</w:t>
            </w:r>
          </w:p>
        </w:tc>
        <w:tc>
          <w:tcPr>
            <w:tcW w:w="2440"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c>
          <w:tcPr>
            <w:tcW w:w="2355"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5</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苯含量</w:t>
            </w:r>
          </w:p>
        </w:tc>
        <w:tc>
          <w:tcPr>
            <w:tcW w:w="2440"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c>
          <w:tcPr>
            <w:tcW w:w="2355"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6</w:t>
            </w:r>
          </w:p>
        </w:tc>
        <w:tc>
          <w:tcPr>
            <w:tcW w:w="3335"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甲苯、二甲苯、乙苯含量总和</w:t>
            </w:r>
          </w:p>
        </w:tc>
        <w:tc>
          <w:tcPr>
            <w:tcW w:w="2440" w:type="dxa"/>
            <w:vAlign w:val="center"/>
          </w:tcPr>
          <w:p>
            <w:pPr>
              <w:jc w:val="cente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c>
          <w:tcPr>
            <w:tcW w:w="2355" w:type="dxa"/>
            <w:vAlign w:val="center"/>
          </w:tcPr>
          <w:p>
            <w:pPr>
              <w:jc w:val="cente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7</w:t>
            </w:r>
          </w:p>
        </w:tc>
        <w:tc>
          <w:tcPr>
            <w:tcW w:w="3335" w:type="dxa"/>
            <w:vAlign w:val="center"/>
          </w:tcPr>
          <w:p>
            <w:pPr>
              <w:snapToGrid w:val="0"/>
              <w:jc w:val="center"/>
              <w:rPr>
                <w:rFonts w:ascii="Times New Roman" w:hAnsi="Times New Roman"/>
                <w:color w:val="FF0000"/>
                <w:szCs w:val="21"/>
              </w:rPr>
            </w:pPr>
            <w:r>
              <w:rPr>
                <w:rFonts w:hint="eastAsia" w:ascii="Times New Roman" w:hAnsi="Times New Roman"/>
                <w:color w:val="FF0000"/>
                <w:szCs w:val="21"/>
              </w:rPr>
              <w:t>卤代烃含量</w:t>
            </w:r>
          </w:p>
        </w:tc>
        <w:tc>
          <w:tcPr>
            <w:tcW w:w="2440" w:type="dxa"/>
            <w:vAlign w:val="center"/>
          </w:tcPr>
          <w:p>
            <w:pPr>
              <w:jc w:val="center"/>
              <w:rPr>
                <w:rFonts w:ascii="Times New Roman" w:hAnsi="Times New Roman"/>
                <w:color w:val="000000"/>
                <w:szCs w:val="21"/>
              </w:rP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c>
          <w:tcPr>
            <w:tcW w:w="2355" w:type="dxa"/>
            <w:vAlign w:val="center"/>
          </w:tcPr>
          <w:p>
            <w:pPr>
              <w:jc w:val="center"/>
            </w:pPr>
            <w:r>
              <w:rPr>
                <w:rFonts w:hint="eastAsia" w:ascii="Times New Roman" w:hAnsi="Times New Roman"/>
                <w:color w:val="000000"/>
                <w:szCs w:val="21"/>
              </w:rPr>
              <w:t>GB</w:t>
            </w:r>
            <w:r>
              <w:rPr>
                <w:rFonts w:ascii="Times New Roman" w:hAnsi="Times New Roman"/>
                <w:color w:val="000000"/>
                <w:szCs w:val="21"/>
              </w:rPr>
              <w:t xml:space="preserve"> </w:t>
            </w:r>
            <w:r>
              <w:rPr>
                <w:rFonts w:hint="eastAsia" w:ascii="Times New Roman" w:hAnsi="Times New Roman"/>
                <w:color w:val="000000"/>
                <w:szCs w:val="21"/>
              </w:rPr>
              <w:t>18581-2009</w:t>
            </w:r>
          </w:p>
        </w:tc>
      </w:tr>
    </w:tbl>
    <w:p>
      <w:pPr>
        <w:adjustRightInd w:val="0"/>
        <w:snapToGrid w:val="0"/>
        <w:spacing w:line="440" w:lineRule="exact"/>
        <w:rPr>
          <w:color w:val="000000"/>
          <w:szCs w:val="21"/>
        </w:rPr>
      </w:pPr>
    </w:p>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pPr>
        <w:rPr>
          <w:rFonts w:ascii="Times New Roman" w:hAnsi="Times New Roman" w:eastAsia="仿宋"/>
          <w:b/>
          <w:bCs/>
        </w:rPr>
      </w:pPr>
    </w:p>
    <w:p>
      <w:pPr>
        <w:spacing w:line="360" w:lineRule="auto"/>
        <w:rPr>
          <w:rFonts w:ascii="Times New Roman" w:hAnsi="Times New Roman" w:eastAsia="黑体"/>
          <w:color w:val="000000"/>
          <w:szCs w:val="21"/>
        </w:rPr>
      </w:pPr>
      <w:r>
        <w:rPr>
          <w:rFonts w:ascii="Times New Roman" w:hAnsi="Times New Roman" w:eastAsia="黑体"/>
          <w:color w:val="000000"/>
          <w:szCs w:val="21"/>
        </w:rPr>
        <w:t>3 判定规则</w:t>
      </w:r>
    </w:p>
    <w:p>
      <w:pPr>
        <w:snapToGrid w:val="0"/>
        <w:spacing w:line="360" w:lineRule="auto"/>
        <w:rPr>
          <w:rFonts w:ascii="Times New Roman" w:hAnsi="Times New Roman"/>
          <w:color w:val="000000"/>
          <w:szCs w:val="21"/>
        </w:rPr>
      </w:pPr>
      <w:r>
        <w:rPr>
          <w:rFonts w:ascii="Times New Roman" w:hAnsi="Times New Roman"/>
          <w:color w:val="000000"/>
          <w:szCs w:val="21"/>
        </w:rPr>
        <w:t>3.1依据标准</w:t>
      </w:r>
    </w:p>
    <w:p>
      <w:pPr>
        <w:snapToGrid w:val="0"/>
        <w:spacing w:line="360" w:lineRule="auto"/>
        <w:ind w:firstLine="420" w:firstLineChars="200"/>
        <w:rPr>
          <w:rFonts w:ascii="Times New Roman" w:hAnsi="Times New Roman"/>
          <w:color w:val="000000"/>
          <w:szCs w:val="21"/>
        </w:rPr>
      </w:pPr>
      <w:r>
        <w:rPr>
          <w:rFonts w:hint="eastAsia" w:ascii="Times New Roman" w:hAnsi="Times New Roman"/>
          <w:color w:val="000000"/>
          <w:szCs w:val="21"/>
        </w:rPr>
        <w:t>GB 18581-2009</w:t>
      </w:r>
      <w:r>
        <w:rPr>
          <w:rFonts w:ascii="Times New Roman" w:hAnsi="Times New Roman"/>
          <w:color w:val="000000"/>
          <w:szCs w:val="21"/>
        </w:rPr>
        <w:t xml:space="preserve">   </w:t>
      </w:r>
      <w:r>
        <w:rPr>
          <w:rFonts w:hint="eastAsia" w:ascii="Times New Roman" w:hAnsi="Times New Roman"/>
          <w:color w:val="000000"/>
          <w:szCs w:val="21"/>
        </w:rPr>
        <w:t xml:space="preserve">室内装饰装修材料 溶剂型木器涂料中有害物质限量 </w:t>
      </w:r>
    </w:p>
    <w:p>
      <w:pPr>
        <w:snapToGrid w:val="0"/>
        <w:spacing w:line="360" w:lineRule="auto"/>
        <w:ind w:firstLine="420" w:firstLineChars="200"/>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 xml:space="preserve">B/T 1726-1979 </w:t>
      </w:r>
      <w:r>
        <w:rPr>
          <w:rFonts w:hint="eastAsia" w:ascii="Times New Roman" w:hAnsi="Times New Roman"/>
          <w:color w:val="000000"/>
          <w:szCs w:val="21"/>
        </w:rPr>
        <w:t>涂料遮盖力测定法</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GB/T 1728-1979 </w:t>
      </w:r>
      <w:r>
        <w:rPr>
          <w:rFonts w:hint="eastAsia" w:ascii="Times New Roman" w:hAnsi="Times New Roman"/>
          <w:color w:val="000000"/>
          <w:szCs w:val="21"/>
        </w:rPr>
        <w:t>漆膜 腻子膜干燥时间测定法</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GB/T 4893.1-2005 </w:t>
      </w:r>
      <w:r>
        <w:rPr>
          <w:rFonts w:hint="eastAsia" w:ascii="Times New Roman" w:hAnsi="Times New Roman"/>
          <w:color w:val="000000"/>
          <w:szCs w:val="21"/>
        </w:rPr>
        <w:t>家具表面耐冷液测定法</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GB/T 4893.3-2005 </w:t>
      </w:r>
      <w:r>
        <w:rPr>
          <w:rFonts w:hint="eastAsia" w:ascii="Times New Roman" w:hAnsi="Times New Roman"/>
          <w:color w:val="000000"/>
          <w:szCs w:val="21"/>
        </w:rPr>
        <w:t>家具表面耐干热测定法</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GB/T 9286-1998 </w:t>
      </w:r>
      <w:r>
        <w:rPr>
          <w:rFonts w:hint="eastAsia" w:ascii="Times New Roman" w:hAnsi="Times New Roman"/>
          <w:color w:val="000000"/>
          <w:szCs w:val="21"/>
        </w:rPr>
        <w:t>色漆和清漆 漆膜的划格试验</w:t>
      </w:r>
    </w:p>
    <w:p>
      <w:pPr>
        <w:snapToGrid w:val="0"/>
        <w:spacing w:line="360" w:lineRule="auto"/>
        <w:ind w:firstLine="420" w:firstLineChars="200"/>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 xml:space="preserve">B/T 18446-2009 </w:t>
      </w:r>
      <w:r>
        <w:rPr>
          <w:rFonts w:hint="eastAsia" w:ascii="Times New Roman" w:hAnsi="Times New Roman"/>
          <w:color w:val="000000"/>
          <w:szCs w:val="21"/>
        </w:rPr>
        <w:t>色漆和清漆用漆基 异氰酸酯树脂中二异氰酸酯单体的测定</w:t>
      </w:r>
    </w:p>
    <w:p>
      <w:pPr>
        <w:snapToGrid w:val="0"/>
        <w:spacing w:line="384" w:lineRule="auto"/>
        <w:ind w:firstLine="420" w:firstLineChars="200"/>
        <w:rPr>
          <w:rFonts w:ascii="Times New Roman" w:hAnsi="Times New Roman"/>
          <w:color w:val="000000"/>
          <w:szCs w:val="21"/>
        </w:rPr>
      </w:pPr>
      <w:r>
        <w:rPr>
          <w:rFonts w:hint="eastAsia" w:ascii="Times New Roman" w:hAnsi="Times New Roman"/>
          <w:color w:val="000000"/>
          <w:szCs w:val="21"/>
        </w:rPr>
        <w:t>GB/T 23995-2009</w:t>
      </w:r>
      <w:r>
        <w:rPr>
          <w:rFonts w:ascii="Times New Roman" w:hAnsi="Times New Roman"/>
          <w:color w:val="000000"/>
          <w:szCs w:val="21"/>
        </w:rPr>
        <w:t xml:space="preserve"> </w:t>
      </w:r>
      <w:r>
        <w:rPr>
          <w:rFonts w:hint="eastAsia" w:ascii="Times New Roman" w:hAnsi="Times New Roman"/>
          <w:color w:val="000000"/>
          <w:szCs w:val="21"/>
        </w:rPr>
        <w:t xml:space="preserve">室内装饰装修用溶剂型醇酸木器涂料 </w:t>
      </w:r>
    </w:p>
    <w:p>
      <w:pPr>
        <w:snapToGrid w:val="0"/>
        <w:spacing w:line="360" w:lineRule="auto"/>
        <w:ind w:firstLine="420" w:firstLineChars="200"/>
        <w:rPr>
          <w:rFonts w:ascii="Times New Roman" w:hAnsi="Times New Roman"/>
          <w:color w:val="000000"/>
          <w:szCs w:val="21"/>
        </w:rPr>
      </w:pPr>
      <w:r>
        <w:rPr>
          <w:rFonts w:hint="eastAsia" w:ascii="Times New Roman" w:hAnsi="Times New Roman"/>
          <w:color w:val="000000"/>
          <w:szCs w:val="21"/>
        </w:rPr>
        <w:t>GB/T 23997-2009</w:t>
      </w:r>
      <w:r>
        <w:rPr>
          <w:rFonts w:ascii="Times New Roman" w:hAnsi="Times New Roman"/>
          <w:color w:val="000000"/>
          <w:szCs w:val="21"/>
        </w:rPr>
        <w:t xml:space="preserve"> </w:t>
      </w:r>
      <w:r>
        <w:rPr>
          <w:rFonts w:hint="eastAsia" w:ascii="Times New Roman" w:hAnsi="Times New Roman"/>
          <w:color w:val="000000"/>
          <w:szCs w:val="21"/>
        </w:rPr>
        <w:t xml:space="preserve">室内装饰装修用溶剂型聚氨酯木器涂料 </w:t>
      </w:r>
    </w:p>
    <w:p>
      <w:pPr>
        <w:snapToGrid w:val="0"/>
        <w:spacing w:line="384" w:lineRule="auto"/>
        <w:ind w:firstLine="420" w:firstLineChars="200"/>
        <w:rPr>
          <w:rFonts w:ascii="Times New Roman" w:hAnsi="Times New Roman"/>
          <w:color w:val="000000"/>
          <w:szCs w:val="21"/>
        </w:rPr>
      </w:pPr>
      <w:r>
        <w:rPr>
          <w:rFonts w:hint="eastAsia" w:ascii="Times New Roman" w:hAnsi="Times New Roman"/>
          <w:color w:val="000000"/>
          <w:szCs w:val="21"/>
        </w:rPr>
        <w:t>GB/T 25251-2010</w:t>
      </w:r>
      <w:r>
        <w:rPr>
          <w:rFonts w:ascii="Times New Roman" w:hAnsi="Times New Roman"/>
          <w:color w:val="000000"/>
          <w:szCs w:val="21"/>
        </w:rPr>
        <w:t xml:space="preserve"> </w:t>
      </w:r>
      <w:r>
        <w:rPr>
          <w:rFonts w:hint="eastAsia" w:ascii="Times New Roman" w:hAnsi="Times New Roman"/>
          <w:color w:val="000000"/>
          <w:szCs w:val="21"/>
        </w:rPr>
        <w:t xml:space="preserve">醇酸树脂涂料 </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pPr>
        <w:snapToGrid w:val="0"/>
        <w:spacing w:line="360" w:lineRule="auto"/>
        <w:rPr>
          <w:rFonts w:ascii="Times New Roman" w:hAnsi="Times New Roman"/>
          <w:color w:val="000000"/>
          <w:szCs w:val="21"/>
        </w:rPr>
      </w:pPr>
      <w:r>
        <w:rPr>
          <w:rFonts w:ascii="Times New Roman" w:hAnsi="Times New Roman"/>
          <w:color w:val="000000"/>
          <w:szCs w:val="21"/>
        </w:rPr>
        <w:t>3.2判定原则</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经检验，检验项目全部合格，判定为被抽查产品合格；检验项目中任一项或一项以上不合格，判定为被抽查产品不合格。</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14997"/>
    <w:rsid w:val="00014F7F"/>
    <w:rsid w:val="00024265"/>
    <w:rsid w:val="00030852"/>
    <w:rsid w:val="00052D0A"/>
    <w:rsid w:val="0006741A"/>
    <w:rsid w:val="00080190"/>
    <w:rsid w:val="00083228"/>
    <w:rsid w:val="000A0C0F"/>
    <w:rsid w:val="000A1F68"/>
    <w:rsid w:val="000F241A"/>
    <w:rsid w:val="0010045C"/>
    <w:rsid w:val="001134E2"/>
    <w:rsid w:val="00130C21"/>
    <w:rsid w:val="0013450E"/>
    <w:rsid w:val="00135D58"/>
    <w:rsid w:val="001479E1"/>
    <w:rsid w:val="00175325"/>
    <w:rsid w:val="001960E8"/>
    <w:rsid w:val="00197FAE"/>
    <w:rsid w:val="001B1ECE"/>
    <w:rsid w:val="001B3557"/>
    <w:rsid w:val="001D3021"/>
    <w:rsid w:val="001E7E75"/>
    <w:rsid w:val="001F4D89"/>
    <w:rsid w:val="00252F0E"/>
    <w:rsid w:val="002642D1"/>
    <w:rsid w:val="00283526"/>
    <w:rsid w:val="00287CFB"/>
    <w:rsid w:val="002A1067"/>
    <w:rsid w:val="002C75FA"/>
    <w:rsid w:val="002D46FF"/>
    <w:rsid w:val="002F3260"/>
    <w:rsid w:val="00301FD0"/>
    <w:rsid w:val="00303F23"/>
    <w:rsid w:val="003215A6"/>
    <w:rsid w:val="00342341"/>
    <w:rsid w:val="00354255"/>
    <w:rsid w:val="00355360"/>
    <w:rsid w:val="00360312"/>
    <w:rsid w:val="003611BA"/>
    <w:rsid w:val="003701D3"/>
    <w:rsid w:val="003C4925"/>
    <w:rsid w:val="004473B9"/>
    <w:rsid w:val="004565AD"/>
    <w:rsid w:val="004A34C8"/>
    <w:rsid w:val="004A4DFC"/>
    <w:rsid w:val="004B599D"/>
    <w:rsid w:val="004C6EAB"/>
    <w:rsid w:val="004C79DF"/>
    <w:rsid w:val="004D05AF"/>
    <w:rsid w:val="00507AE0"/>
    <w:rsid w:val="0051512A"/>
    <w:rsid w:val="00515D49"/>
    <w:rsid w:val="00560FE5"/>
    <w:rsid w:val="00624DD6"/>
    <w:rsid w:val="006350F9"/>
    <w:rsid w:val="00635423"/>
    <w:rsid w:val="00652075"/>
    <w:rsid w:val="00652B40"/>
    <w:rsid w:val="00660FFF"/>
    <w:rsid w:val="00670265"/>
    <w:rsid w:val="0067449B"/>
    <w:rsid w:val="00675807"/>
    <w:rsid w:val="006C75F5"/>
    <w:rsid w:val="006F3686"/>
    <w:rsid w:val="006F6818"/>
    <w:rsid w:val="00700705"/>
    <w:rsid w:val="007032EA"/>
    <w:rsid w:val="00712FE6"/>
    <w:rsid w:val="00721DBD"/>
    <w:rsid w:val="0076570D"/>
    <w:rsid w:val="00766407"/>
    <w:rsid w:val="007C5B37"/>
    <w:rsid w:val="007E7B78"/>
    <w:rsid w:val="00801099"/>
    <w:rsid w:val="0081765C"/>
    <w:rsid w:val="008536DB"/>
    <w:rsid w:val="00863267"/>
    <w:rsid w:val="00863F48"/>
    <w:rsid w:val="00872CC4"/>
    <w:rsid w:val="008737DB"/>
    <w:rsid w:val="008B4A07"/>
    <w:rsid w:val="008C2D89"/>
    <w:rsid w:val="008E4C32"/>
    <w:rsid w:val="008F131B"/>
    <w:rsid w:val="00910C47"/>
    <w:rsid w:val="00911043"/>
    <w:rsid w:val="00933214"/>
    <w:rsid w:val="00963128"/>
    <w:rsid w:val="00967ABE"/>
    <w:rsid w:val="00973795"/>
    <w:rsid w:val="009740D6"/>
    <w:rsid w:val="009A6925"/>
    <w:rsid w:val="009B3AF3"/>
    <w:rsid w:val="009B48C4"/>
    <w:rsid w:val="009C1C38"/>
    <w:rsid w:val="009D2CD9"/>
    <w:rsid w:val="009D2E2A"/>
    <w:rsid w:val="009E6086"/>
    <w:rsid w:val="009F189F"/>
    <w:rsid w:val="00A055B0"/>
    <w:rsid w:val="00A0674B"/>
    <w:rsid w:val="00A45E64"/>
    <w:rsid w:val="00A50929"/>
    <w:rsid w:val="00A5157E"/>
    <w:rsid w:val="00A66A3D"/>
    <w:rsid w:val="00A7543F"/>
    <w:rsid w:val="00A77E8A"/>
    <w:rsid w:val="00A916BA"/>
    <w:rsid w:val="00AB2350"/>
    <w:rsid w:val="00AB462B"/>
    <w:rsid w:val="00AD4FDA"/>
    <w:rsid w:val="00AE1821"/>
    <w:rsid w:val="00AE471A"/>
    <w:rsid w:val="00AE5734"/>
    <w:rsid w:val="00AF5572"/>
    <w:rsid w:val="00AF7F28"/>
    <w:rsid w:val="00B51584"/>
    <w:rsid w:val="00B54E2B"/>
    <w:rsid w:val="00B55224"/>
    <w:rsid w:val="00B6123C"/>
    <w:rsid w:val="00B80476"/>
    <w:rsid w:val="00B97F97"/>
    <w:rsid w:val="00BD109E"/>
    <w:rsid w:val="00BD2490"/>
    <w:rsid w:val="00C075F6"/>
    <w:rsid w:val="00C17712"/>
    <w:rsid w:val="00C17F20"/>
    <w:rsid w:val="00C207B1"/>
    <w:rsid w:val="00C21785"/>
    <w:rsid w:val="00C345BB"/>
    <w:rsid w:val="00C46A22"/>
    <w:rsid w:val="00C57739"/>
    <w:rsid w:val="00C9467F"/>
    <w:rsid w:val="00CA58E7"/>
    <w:rsid w:val="00CD0330"/>
    <w:rsid w:val="00CD3877"/>
    <w:rsid w:val="00CF5F1B"/>
    <w:rsid w:val="00D1325F"/>
    <w:rsid w:val="00D15332"/>
    <w:rsid w:val="00D31DB4"/>
    <w:rsid w:val="00D6657B"/>
    <w:rsid w:val="00D732ED"/>
    <w:rsid w:val="00D85C2A"/>
    <w:rsid w:val="00D879A0"/>
    <w:rsid w:val="00D92B01"/>
    <w:rsid w:val="00D9506C"/>
    <w:rsid w:val="00DC0140"/>
    <w:rsid w:val="00DD7E3B"/>
    <w:rsid w:val="00E1489E"/>
    <w:rsid w:val="00E155ED"/>
    <w:rsid w:val="00E24FC8"/>
    <w:rsid w:val="00E55DC8"/>
    <w:rsid w:val="00E96130"/>
    <w:rsid w:val="00EF0AC2"/>
    <w:rsid w:val="00EF2B9F"/>
    <w:rsid w:val="00FA2884"/>
    <w:rsid w:val="00FA45C8"/>
    <w:rsid w:val="00FA59DC"/>
    <w:rsid w:val="00FC0C80"/>
    <w:rsid w:val="00FE1549"/>
    <w:rsid w:val="01757279"/>
    <w:rsid w:val="02394E6E"/>
    <w:rsid w:val="071C39DD"/>
    <w:rsid w:val="0C3020D5"/>
    <w:rsid w:val="14707C4A"/>
    <w:rsid w:val="14A748C1"/>
    <w:rsid w:val="29817179"/>
    <w:rsid w:val="2C062286"/>
    <w:rsid w:val="4A1D0919"/>
    <w:rsid w:val="55CC633D"/>
    <w:rsid w:val="60D566FD"/>
    <w:rsid w:val="61D054C2"/>
    <w:rsid w:val="61F5033B"/>
    <w:rsid w:val="652F585C"/>
    <w:rsid w:val="723415EF"/>
    <w:rsid w:val="74E74B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2"/>
    <w:qFormat/>
    <w:uiPriority w:val="9"/>
    <w:rPr>
      <w:rFonts w:ascii="Calibri" w:hAnsi="Calibri" w:eastAsia="宋体" w:cs="Times New Roman"/>
      <w:b/>
      <w:bCs/>
      <w:kern w:val="44"/>
      <w:sz w:val="44"/>
      <w:szCs w:val="44"/>
    </w:rPr>
  </w:style>
  <w:style w:type="character" w:customStyle="1" w:styleId="16">
    <w:name w:val="正文文本缩进 Char"/>
    <w:basedOn w:val="12"/>
    <w:link w:val="4"/>
    <w:qFormat/>
    <w:uiPriority w:val="0"/>
    <w:rPr>
      <w:rFonts w:ascii="Times New Roman" w:hAnsi="Times New Roman" w:eastAsia="仿宋_GB2312" w:cs="Times New Roman"/>
      <w:sz w:val="30"/>
      <w:szCs w:val="24"/>
    </w:rPr>
  </w:style>
  <w:style w:type="character" w:customStyle="1" w:styleId="17">
    <w:name w:val="纯文本 Char"/>
    <w:basedOn w:val="12"/>
    <w:link w:val="5"/>
    <w:qFormat/>
    <w:uiPriority w:val="99"/>
    <w:rPr>
      <w:rFonts w:ascii="宋体" w:hAnsi="Courier New" w:eastAsia="宋体" w:cs="Times New Roman"/>
      <w:kern w:val="0"/>
      <w:sz w:val="20"/>
      <w:szCs w:val="20"/>
    </w:rPr>
  </w:style>
  <w:style w:type="character" w:customStyle="1" w:styleId="18">
    <w:name w:val="批注框文本 Char"/>
    <w:basedOn w:val="12"/>
    <w:link w:val="6"/>
    <w:qFormat/>
    <w:uiPriority w:val="99"/>
    <w:rPr>
      <w:rFonts w:ascii="Calibri" w:hAnsi="Calibri" w:eastAsia="宋体" w:cs="Times New Roman"/>
      <w:sz w:val="18"/>
      <w:szCs w:val="18"/>
    </w:rPr>
  </w:style>
  <w:style w:type="character" w:customStyle="1" w:styleId="19">
    <w:name w:val="页脚 Char"/>
    <w:basedOn w:val="12"/>
    <w:link w:val="7"/>
    <w:qFormat/>
    <w:uiPriority w:val="99"/>
    <w:rPr>
      <w:rFonts w:ascii="Calibri" w:hAnsi="Calibri" w:eastAsia="宋体" w:cs="Times New Roman"/>
      <w:sz w:val="18"/>
      <w:szCs w:val="18"/>
    </w:rPr>
  </w:style>
  <w:style w:type="character" w:customStyle="1" w:styleId="20">
    <w:name w:val="页眉 Char"/>
    <w:basedOn w:val="12"/>
    <w:link w:val="8"/>
    <w:qFormat/>
    <w:uiPriority w:val="0"/>
    <w:rPr>
      <w:rFonts w:ascii="Calibri" w:hAnsi="Calibri" w:eastAsia="宋体" w:cs="Times New Roman"/>
      <w:sz w:val="18"/>
      <w:szCs w:val="18"/>
    </w:rPr>
  </w:style>
  <w:style w:type="character" w:customStyle="1" w:styleId="21">
    <w:name w:val="正文文本缩进 3 Char"/>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798698-55A3-4835-8B09-32FD38714360}">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330</Words>
  <Characters>1883</Characters>
  <Lines>15</Lines>
  <Paragraphs>4</Paragraphs>
  <TotalTime>0</TotalTime>
  <ScaleCrop>false</ScaleCrop>
  <LinksUpToDate>false</LinksUpToDate>
  <CharactersWithSpaces>2209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2019-12-09T02:31:00Z</dcterms:created>
  <dc:creator>lenovo</dc:creator>
  <cp:lastModifiedBy>兰倩</cp:lastModifiedBy>
  <dcterms:modified xsi:type="dcterms:W3CDTF">2020-09-21T08:31:06Z</dcterms:modified>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