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val="0"/>
          <w:bCs w:val="0"/>
          <w:sz w:val="32"/>
          <w:szCs w:val="32"/>
        </w:rPr>
      </w:pPr>
      <w:r>
        <w:rPr>
          <w:rFonts w:hint="eastAsia" w:asciiTheme="majorEastAsia" w:hAnsiTheme="majorEastAsia" w:eastAsiaTheme="majorEastAsia" w:cstheme="majorEastAsia"/>
          <w:b w:val="0"/>
          <w:bCs w:val="0"/>
          <w:sz w:val="32"/>
          <w:szCs w:val="32"/>
        </w:rPr>
        <w:t>商品混凝土西藏自治区产品</w:t>
      </w:r>
      <w:r>
        <w:rPr>
          <w:rFonts w:hint="eastAsia" w:asciiTheme="majorEastAsia" w:hAnsiTheme="majorEastAsia" w:eastAsiaTheme="majorEastAsia" w:cstheme="majorEastAsia"/>
          <w:b w:val="0"/>
          <w:bCs w:val="0"/>
          <w:sz w:val="32"/>
          <w:szCs w:val="32"/>
          <w:lang w:eastAsia="zh-CN"/>
        </w:rPr>
        <w:t>质量</w:t>
      </w:r>
      <w:r>
        <w:rPr>
          <w:rFonts w:hint="eastAsia" w:asciiTheme="majorEastAsia" w:hAnsiTheme="majorEastAsia" w:eastAsiaTheme="majorEastAsia" w:cstheme="majorEastAsia"/>
          <w:b w:val="0"/>
          <w:bCs w:val="0"/>
          <w:sz w:val="32"/>
          <w:szCs w:val="32"/>
        </w:rPr>
        <w:t>监督抽查实施细则</w:t>
      </w:r>
    </w:p>
    <w:p>
      <w:pPr>
        <w:jc w:val="right"/>
        <w:rPr>
          <w:rFonts w:hint="eastAsia" w:asciiTheme="minorAscii"/>
          <w:b/>
          <w:bCs/>
          <w:sz w:val="28"/>
          <w:szCs w:val="28"/>
        </w:rPr>
      </w:pPr>
      <w:r>
        <w:rPr>
          <w:rFonts w:hint="eastAsia" w:hAnsi="仿宋" w:eastAsia="仿宋" w:cs="仿宋" w:asciiTheme="minorAscii"/>
          <w:b w:val="0"/>
          <w:bCs w:val="0"/>
          <w:sz w:val="28"/>
          <w:szCs w:val="28"/>
          <w:lang w:val="en-US" w:eastAsia="zh-CN"/>
        </w:rPr>
        <w:t>22-</w:t>
      </w:r>
      <w:r>
        <w:rPr>
          <w:rFonts w:hint="eastAsia" w:hAnsi="仿宋" w:eastAsia="仿宋" w:cs="仿宋" w:asciiTheme="minorAscii"/>
          <w:b w:val="0"/>
          <w:bCs w:val="0"/>
          <w:sz w:val="28"/>
          <w:szCs w:val="28"/>
          <w:lang w:val="en-US"/>
        </w:rPr>
        <w:t>XZCC</w:t>
      </w:r>
      <w:r>
        <w:rPr>
          <w:rFonts w:hint="eastAsia" w:hAnsi="仿宋" w:eastAsia="仿宋" w:cs="仿宋" w:asciiTheme="minorAscii"/>
          <w:b w:val="0"/>
          <w:bCs w:val="0"/>
          <w:sz w:val="28"/>
          <w:szCs w:val="28"/>
          <w:lang w:val="en-US" w:eastAsia="zh-CN"/>
        </w:rPr>
        <w:t>XZ-429.1-</w:t>
      </w:r>
      <w:r>
        <w:rPr>
          <w:rFonts w:hint="eastAsia" w:hAnsi="仿宋" w:eastAsia="仿宋" w:cs="仿宋" w:asciiTheme="minorAscii"/>
          <w:b w:val="0"/>
          <w:bCs w:val="0"/>
          <w:sz w:val="28"/>
          <w:szCs w:val="28"/>
          <w:lang w:val="en-US"/>
        </w:rPr>
        <w:t>2020</w:t>
      </w:r>
    </w:p>
    <w:p>
      <w:pPr>
        <w:spacing w:line="360" w:lineRule="auto"/>
        <w:rPr>
          <w:b/>
          <w:bCs/>
          <w:sz w:val="28"/>
          <w:szCs w:val="36"/>
        </w:rPr>
      </w:pPr>
      <w:r>
        <w:rPr>
          <w:rFonts w:hint="eastAsia"/>
          <w:b/>
          <w:bCs/>
          <w:sz w:val="28"/>
          <w:szCs w:val="36"/>
        </w:rPr>
        <w:t>1、目的</w:t>
      </w:r>
      <w:bookmarkStart w:id="0" w:name="_GoBack"/>
      <w:bookmarkEnd w:id="0"/>
    </w:p>
    <w:p>
      <w:pPr>
        <w:pStyle w:val="12"/>
        <w:tabs>
          <w:tab w:val="left" w:pos="1523"/>
        </w:tabs>
        <w:spacing w:line="360" w:lineRule="auto"/>
        <w:ind w:left="0" w:firstLine="480" w:firstLineChars="200"/>
        <w:jc w:val="left"/>
        <w:rPr>
          <w:rFonts w:asciiTheme="minorHAnsi" w:hAnsiTheme="minorHAnsi" w:eastAsiaTheme="minorEastAsia" w:cstheme="minorBidi"/>
          <w:sz w:val="24"/>
          <w:szCs w:val="32"/>
        </w:rPr>
      </w:pPr>
      <w:r>
        <w:rPr>
          <w:rFonts w:hint="eastAsia" w:asciiTheme="minorHAnsi" w:hAnsiTheme="minorHAnsi" w:eastAsiaTheme="minorEastAsia" w:cstheme="minorBidi"/>
          <w:sz w:val="24"/>
          <w:szCs w:val="32"/>
        </w:rPr>
        <w:t>为保证抽样检验程序科学、合理，能满足相关方的要求，为抽样检验提供合理的指导依据，制定本细则。</w:t>
      </w:r>
    </w:p>
    <w:p>
      <w:pPr>
        <w:pStyle w:val="12"/>
        <w:tabs>
          <w:tab w:val="left" w:pos="1519"/>
        </w:tabs>
        <w:spacing w:line="360" w:lineRule="auto"/>
        <w:ind w:left="0" w:firstLine="0"/>
        <w:jc w:val="left"/>
        <w:rPr>
          <w:rFonts w:asciiTheme="minorHAnsi" w:hAnsiTheme="minorHAnsi" w:eastAsiaTheme="minorEastAsia" w:cstheme="minorBidi"/>
          <w:b/>
          <w:bCs/>
          <w:sz w:val="28"/>
          <w:szCs w:val="36"/>
        </w:rPr>
      </w:pPr>
      <w:r>
        <w:rPr>
          <w:rFonts w:hint="eastAsia" w:asciiTheme="minorHAnsi" w:hAnsiTheme="minorHAnsi" w:eastAsiaTheme="minorEastAsia" w:cstheme="minorBidi"/>
          <w:b/>
          <w:bCs/>
          <w:sz w:val="28"/>
          <w:szCs w:val="36"/>
        </w:rPr>
        <w:t>2、适用范围</w:t>
      </w:r>
    </w:p>
    <w:p>
      <w:pPr>
        <w:spacing w:line="360" w:lineRule="auto"/>
        <w:ind w:firstLine="480" w:firstLineChars="200"/>
        <w:rPr>
          <w:color w:val="1C1C1C"/>
          <w:w w:val="105"/>
        </w:rPr>
      </w:pPr>
      <w:r>
        <w:rPr>
          <w:rFonts w:hint="eastAsia"/>
          <w:sz w:val="24"/>
          <w:szCs w:val="32"/>
        </w:rPr>
        <w:t>本细则规定了混凝土产品的检验项目、检验依据、抽样方案和判定原则，本细则适用于西藏自治区混凝土产品的监督抽查。</w:t>
      </w:r>
    </w:p>
    <w:p>
      <w:pPr>
        <w:pStyle w:val="12"/>
        <w:tabs>
          <w:tab w:val="left" w:pos="1496"/>
        </w:tabs>
        <w:spacing w:before="1" w:line="360" w:lineRule="auto"/>
        <w:ind w:left="0" w:firstLine="0"/>
        <w:jc w:val="left"/>
        <w:rPr>
          <w:rFonts w:asciiTheme="minorHAnsi" w:hAnsiTheme="minorHAnsi" w:eastAsiaTheme="minorEastAsia" w:cstheme="minorBidi"/>
          <w:b/>
          <w:bCs/>
          <w:sz w:val="28"/>
          <w:szCs w:val="36"/>
        </w:rPr>
      </w:pPr>
      <w:r>
        <w:rPr>
          <w:rFonts w:hint="eastAsia" w:asciiTheme="minorHAnsi" w:hAnsiTheme="minorHAnsi" w:eastAsiaTheme="minorEastAsia" w:cstheme="minorBidi"/>
          <w:b/>
          <w:bCs/>
          <w:sz w:val="28"/>
          <w:szCs w:val="36"/>
        </w:rPr>
        <w:t>3、抽查范围</w:t>
      </w:r>
    </w:p>
    <w:p>
      <w:pPr>
        <w:pStyle w:val="12"/>
        <w:tabs>
          <w:tab w:val="left" w:pos="1496"/>
        </w:tabs>
        <w:spacing w:before="1"/>
        <w:ind w:left="0" w:firstLine="240" w:firstLineChars="100"/>
        <w:jc w:val="left"/>
        <w:rPr>
          <w:rFonts w:asciiTheme="minorHAnsi" w:hAnsiTheme="minorHAnsi" w:eastAsiaTheme="minorEastAsia" w:cstheme="minorBidi"/>
          <w:sz w:val="24"/>
          <w:szCs w:val="32"/>
        </w:rPr>
      </w:pPr>
      <w:r>
        <w:rPr>
          <w:rFonts w:hint="eastAsia" w:asciiTheme="minorHAnsi" w:hAnsiTheme="minorHAnsi" w:eastAsiaTheme="minorEastAsia" w:cstheme="minorBidi"/>
          <w:sz w:val="24"/>
          <w:szCs w:val="32"/>
        </w:rPr>
        <w:t>3.1抽查地区及对象</w:t>
      </w:r>
    </w:p>
    <w:p>
      <w:pPr>
        <w:pStyle w:val="2"/>
        <w:spacing w:before="176"/>
        <w:ind w:firstLine="480" w:firstLineChars="200"/>
        <w:rPr>
          <w:rFonts w:asciiTheme="minorHAnsi" w:hAnsiTheme="minorHAnsi" w:eastAsiaTheme="minorEastAsia" w:cstheme="minorBidi"/>
          <w:sz w:val="24"/>
          <w:szCs w:val="32"/>
        </w:rPr>
      </w:pPr>
      <w:r>
        <w:rPr>
          <w:rFonts w:hint="eastAsia" w:asciiTheme="minorHAnsi" w:hAnsiTheme="minorHAnsi" w:eastAsiaTheme="minorEastAsia" w:cstheme="minorBidi"/>
          <w:sz w:val="24"/>
          <w:szCs w:val="32"/>
        </w:rPr>
        <w:t>西藏自治区行政管辖范围内的10家混凝土生产搅拌站。</w:t>
      </w:r>
    </w:p>
    <w:p>
      <w:pPr>
        <w:pStyle w:val="12"/>
        <w:tabs>
          <w:tab w:val="left" w:pos="1673"/>
        </w:tabs>
        <w:spacing w:before="176"/>
        <w:ind w:left="0" w:firstLine="240" w:firstLineChars="100"/>
        <w:jc w:val="left"/>
        <w:rPr>
          <w:rFonts w:asciiTheme="minorHAnsi" w:hAnsiTheme="minorHAnsi" w:eastAsiaTheme="minorEastAsia" w:cstheme="minorBidi"/>
          <w:sz w:val="24"/>
          <w:szCs w:val="32"/>
        </w:rPr>
      </w:pPr>
      <w:r>
        <w:rPr>
          <w:rFonts w:hint="eastAsia" w:asciiTheme="minorHAnsi" w:hAnsiTheme="minorHAnsi" w:eastAsiaTheme="minorEastAsia" w:cstheme="minorBidi"/>
          <w:sz w:val="24"/>
          <w:szCs w:val="32"/>
        </w:rPr>
        <w:t>3.2产品范围</w:t>
      </w:r>
    </w:p>
    <w:p>
      <w:pPr>
        <w:pStyle w:val="2"/>
        <w:spacing w:before="177"/>
        <w:ind w:firstLine="480" w:firstLineChars="200"/>
        <w:rPr>
          <w:b/>
          <w:bCs/>
          <w:sz w:val="36"/>
          <w:szCs w:val="44"/>
        </w:rPr>
      </w:pPr>
      <w:r>
        <w:rPr>
          <w:rFonts w:hint="eastAsia" w:asciiTheme="minorHAnsi" w:hAnsiTheme="minorHAnsi" w:eastAsiaTheme="minorEastAsia" w:cstheme="minorBidi"/>
          <w:sz w:val="24"/>
          <w:szCs w:val="32"/>
        </w:rPr>
        <w:t>商品混凝土。</w:t>
      </w:r>
    </w:p>
    <w:p>
      <w:pPr>
        <w:rPr>
          <w:b/>
          <w:bCs/>
          <w:sz w:val="28"/>
          <w:szCs w:val="36"/>
        </w:rPr>
      </w:pPr>
      <w:r>
        <w:rPr>
          <w:rFonts w:hint="eastAsia"/>
          <w:b/>
          <w:bCs/>
          <w:sz w:val="28"/>
          <w:szCs w:val="36"/>
        </w:rPr>
        <w:t>4、抽样产品</w:t>
      </w:r>
    </w:p>
    <w:p>
      <w:pPr>
        <w:spacing w:line="360" w:lineRule="auto"/>
        <w:ind w:firstLine="480" w:firstLineChars="200"/>
        <w:rPr>
          <w:sz w:val="24"/>
          <w:szCs w:val="32"/>
        </w:rPr>
      </w:pPr>
      <w:r>
        <w:rPr>
          <w:rFonts w:hint="eastAsia"/>
          <w:sz w:val="24"/>
          <w:szCs w:val="32"/>
        </w:rPr>
        <w:t>现场抽取商品混凝土，抽样样品以生产者现场实际生产的混凝土标号为准，成型混凝土试件，检测商品混凝土试件抗压强度。</w:t>
      </w:r>
    </w:p>
    <w:p>
      <w:pPr>
        <w:spacing w:line="360" w:lineRule="auto"/>
        <w:rPr>
          <w:b/>
          <w:bCs/>
          <w:sz w:val="28"/>
          <w:szCs w:val="36"/>
        </w:rPr>
      </w:pPr>
      <w:r>
        <w:rPr>
          <w:rFonts w:hint="eastAsia"/>
          <w:b/>
          <w:bCs/>
          <w:sz w:val="28"/>
          <w:szCs w:val="36"/>
        </w:rPr>
        <w:t>5、抽样、检测、判定依据及检测项目</w:t>
      </w:r>
    </w:p>
    <w:p>
      <w:pPr>
        <w:spacing w:line="360" w:lineRule="auto"/>
        <w:ind w:firstLine="240" w:firstLineChars="100"/>
        <w:rPr>
          <w:sz w:val="24"/>
          <w:szCs w:val="32"/>
        </w:rPr>
      </w:pPr>
      <w:r>
        <w:rPr>
          <w:rFonts w:hint="eastAsia"/>
          <w:sz w:val="24"/>
          <w:szCs w:val="32"/>
        </w:rPr>
        <w:t>5.1、抽样依据</w:t>
      </w:r>
    </w:p>
    <w:p>
      <w:pPr>
        <w:spacing w:line="360" w:lineRule="auto"/>
        <w:ind w:left="210" w:leftChars="100" w:firstLine="240" w:firstLineChars="100"/>
        <w:rPr>
          <w:color w:val="auto"/>
          <w:sz w:val="24"/>
          <w:szCs w:val="32"/>
        </w:rPr>
      </w:pPr>
      <w:r>
        <w:rPr>
          <w:color w:val="auto"/>
          <w:sz w:val="24"/>
          <w:szCs w:val="32"/>
        </w:rPr>
        <w:t>《产品质量监督抽查管理暂行办法》</w:t>
      </w:r>
      <w:r>
        <w:rPr>
          <w:rFonts w:hint="eastAsia"/>
          <w:color w:val="auto"/>
          <w:sz w:val="24"/>
          <w:szCs w:val="32"/>
          <w:lang w:val="en-US" w:eastAsia="zh-CN"/>
        </w:rPr>
        <w:t>国家市场监督管理总局令（第18号）</w:t>
      </w:r>
      <w:r>
        <w:rPr>
          <w:rFonts w:hint="eastAsia"/>
          <w:color w:val="auto"/>
          <w:sz w:val="24"/>
          <w:szCs w:val="32"/>
        </w:rPr>
        <w:t>；</w:t>
      </w:r>
    </w:p>
    <w:p>
      <w:pPr>
        <w:spacing w:line="360" w:lineRule="auto"/>
        <w:ind w:firstLine="240" w:firstLineChars="100"/>
        <w:rPr>
          <w:sz w:val="24"/>
          <w:szCs w:val="32"/>
        </w:rPr>
      </w:pPr>
      <w:r>
        <w:rPr>
          <w:rFonts w:hint="eastAsia"/>
          <w:sz w:val="24"/>
          <w:szCs w:val="32"/>
        </w:rPr>
        <w:t>5.2、检测、判定依据及检测项目</w:t>
      </w:r>
    </w:p>
    <w:tbl>
      <w:tblPr>
        <w:tblStyle w:val="6"/>
        <w:tblW w:w="87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5"/>
        <w:gridCol w:w="1428"/>
        <w:gridCol w:w="3816"/>
        <w:gridCol w:w="2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vAlign w:val="center"/>
          </w:tcPr>
          <w:p>
            <w:pPr>
              <w:spacing w:line="360" w:lineRule="auto"/>
              <w:jc w:val="center"/>
              <w:rPr>
                <w:sz w:val="24"/>
                <w:szCs w:val="32"/>
              </w:rPr>
            </w:pPr>
            <w:r>
              <w:rPr>
                <w:rFonts w:hint="eastAsia"/>
                <w:sz w:val="24"/>
                <w:szCs w:val="32"/>
              </w:rPr>
              <w:t>产品名称</w:t>
            </w:r>
          </w:p>
        </w:tc>
        <w:tc>
          <w:tcPr>
            <w:tcW w:w="1428" w:type="dxa"/>
            <w:vAlign w:val="center"/>
          </w:tcPr>
          <w:p>
            <w:pPr>
              <w:spacing w:line="360" w:lineRule="auto"/>
              <w:jc w:val="center"/>
              <w:rPr>
                <w:sz w:val="24"/>
                <w:szCs w:val="32"/>
              </w:rPr>
            </w:pPr>
            <w:r>
              <w:rPr>
                <w:rFonts w:hint="eastAsia"/>
                <w:sz w:val="24"/>
                <w:szCs w:val="32"/>
              </w:rPr>
              <w:t>检测项目</w:t>
            </w:r>
          </w:p>
        </w:tc>
        <w:tc>
          <w:tcPr>
            <w:tcW w:w="3816" w:type="dxa"/>
            <w:vAlign w:val="center"/>
          </w:tcPr>
          <w:p>
            <w:pPr>
              <w:spacing w:line="360" w:lineRule="auto"/>
              <w:jc w:val="center"/>
              <w:rPr>
                <w:sz w:val="24"/>
                <w:szCs w:val="32"/>
              </w:rPr>
            </w:pPr>
            <w:r>
              <w:rPr>
                <w:rFonts w:hint="eastAsia"/>
                <w:sz w:val="24"/>
                <w:szCs w:val="32"/>
              </w:rPr>
              <w:t>检测依据</w:t>
            </w:r>
          </w:p>
        </w:tc>
        <w:tc>
          <w:tcPr>
            <w:tcW w:w="2028" w:type="dxa"/>
            <w:vAlign w:val="center"/>
          </w:tcPr>
          <w:p>
            <w:pPr>
              <w:spacing w:line="360" w:lineRule="auto"/>
              <w:jc w:val="center"/>
              <w:rPr>
                <w:sz w:val="24"/>
                <w:szCs w:val="32"/>
              </w:rPr>
            </w:pPr>
            <w:r>
              <w:rPr>
                <w:rFonts w:hint="eastAsia"/>
                <w:sz w:val="24"/>
                <w:szCs w:val="32"/>
              </w:rPr>
              <w:t>判定依据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vAlign w:val="center"/>
          </w:tcPr>
          <w:p>
            <w:pPr>
              <w:spacing w:line="360" w:lineRule="auto"/>
              <w:jc w:val="center"/>
              <w:rPr>
                <w:sz w:val="24"/>
                <w:szCs w:val="32"/>
              </w:rPr>
            </w:pPr>
            <w:r>
              <w:rPr>
                <w:rFonts w:hint="eastAsia"/>
                <w:sz w:val="24"/>
                <w:szCs w:val="32"/>
              </w:rPr>
              <w:t>商品混凝土</w:t>
            </w:r>
          </w:p>
        </w:tc>
        <w:tc>
          <w:tcPr>
            <w:tcW w:w="1428" w:type="dxa"/>
            <w:vAlign w:val="center"/>
          </w:tcPr>
          <w:p>
            <w:pPr>
              <w:spacing w:line="360" w:lineRule="auto"/>
              <w:jc w:val="center"/>
              <w:rPr>
                <w:sz w:val="24"/>
                <w:szCs w:val="32"/>
              </w:rPr>
            </w:pPr>
            <w:r>
              <w:rPr>
                <w:rFonts w:hint="eastAsia"/>
                <w:sz w:val="24"/>
                <w:szCs w:val="32"/>
              </w:rPr>
              <w:t>混凝土抗压强度</w:t>
            </w:r>
          </w:p>
        </w:tc>
        <w:tc>
          <w:tcPr>
            <w:tcW w:w="3816" w:type="dxa"/>
            <w:vAlign w:val="center"/>
          </w:tcPr>
          <w:p>
            <w:pPr>
              <w:spacing w:line="360" w:lineRule="auto"/>
              <w:jc w:val="center"/>
              <w:rPr>
                <w:rFonts w:hint="eastAsia"/>
                <w:sz w:val="24"/>
                <w:szCs w:val="32"/>
              </w:rPr>
            </w:pPr>
            <w:r>
              <w:rPr>
                <w:rFonts w:hint="eastAsia" w:ascii="宋体" w:hAnsi="宋体" w:eastAsia="宋体" w:cs="宋体"/>
                <w:color w:val="000000"/>
                <w:sz w:val="24"/>
              </w:rPr>
              <w:t>《</w:t>
            </w:r>
            <w:r>
              <w:rPr>
                <w:rFonts w:hint="eastAsia"/>
                <w:sz w:val="24"/>
                <w:szCs w:val="32"/>
              </w:rPr>
              <w:t>预拌混凝土》GB/T14902-2012</w:t>
            </w:r>
          </w:p>
          <w:p>
            <w:pPr>
              <w:spacing w:line="360" w:lineRule="auto"/>
              <w:jc w:val="center"/>
              <w:rPr>
                <w:sz w:val="24"/>
                <w:szCs w:val="32"/>
              </w:rPr>
            </w:pPr>
            <w:r>
              <w:rPr>
                <w:rFonts w:hint="eastAsia"/>
                <w:sz w:val="24"/>
                <w:szCs w:val="32"/>
              </w:rPr>
              <w:t xml:space="preserve">《普通混凝土拌合物性能试验方法标准》GB/T50080-2016;         《混凝土物理力学性能试验方法标准》GB/T50081-2019;            </w:t>
            </w:r>
          </w:p>
        </w:tc>
        <w:tc>
          <w:tcPr>
            <w:tcW w:w="2028" w:type="dxa"/>
            <w:vAlign w:val="center"/>
          </w:tcPr>
          <w:p>
            <w:pPr>
              <w:spacing w:line="360" w:lineRule="auto"/>
              <w:jc w:val="center"/>
              <w:rPr>
                <w:rFonts w:hint="eastAsia"/>
                <w:sz w:val="24"/>
                <w:szCs w:val="32"/>
              </w:rPr>
            </w:pPr>
            <w:r>
              <w:rPr>
                <w:rFonts w:hint="eastAsia" w:ascii="宋体" w:hAnsi="宋体" w:eastAsia="宋体" w:cs="宋体"/>
                <w:color w:val="000000"/>
                <w:sz w:val="24"/>
              </w:rPr>
              <w:t>《</w:t>
            </w:r>
            <w:r>
              <w:rPr>
                <w:rFonts w:hint="eastAsia"/>
                <w:sz w:val="24"/>
                <w:szCs w:val="32"/>
              </w:rPr>
              <w:t>预拌混凝土》GB/T14902-2012;</w:t>
            </w:r>
          </w:p>
          <w:p>
            <w:pPr>
              <w:spacing w:line="360" w:lineRule="auto"/>
              <w:jc w:val="center"/>
              <w:rPr>
                <w:sz w:val="24"/>
                <w:szCs w:val="32"/>
              </w:rPr>
            </w:pPr>
            <w:r>
              <w:rPr>
                <w:rFonts w:hint="eastAsia"/>
                <w:sz w:val="24"/>
                <w:szCs w:val="32"/>
              </w:rPr>
              <w:t>《混凝土强度检验评定标准》GB/T50107-2010</w:t>
            </w:r>
          </w:p>
        </w:tc>
      </w:tr>
    </w:tbl>
    <w:p>
      <w:pPr>
        <w:spacing w:line="360" w:lineRule="auto"/>
        <w:ind w:left="210" w:leftChars="100" w:firstLine="240" w:firstLineChars="100"/>
        <w:rPr>
          <w:sz w:val="24"/>
          <w:szCs w:val="32"/>
        </w:rPr>
      </w:pPr>
    </w:p>
    <w:p>
      <w:pPr>
        <w:spacing w:line="360" w:lineRule="auto"/>
        <w:ind w:left="210" w:leftChars="100" w:firstLine="240" w:firstLineChars="100"/>
        <w:rPr>
          <w:sz w:val="24"/>
          <w:szCs w:val="32"/>
        </w:rPr>
      </w:pPr>
    </w:p>
    <w:p>
      <w:pPr>
        <w:spacing w:line="360" w:lineRule="auto"/>
        <w:rPr>
          <w:b/>
          <w:bCs/>
          <w:sz w:val="28"/>
          <w:szCs w:val="36"/>
        </w:rPr>
      </w:pPr>
      <w:r>
        <w:rPr>
          <w:rFonts w:hint="eastAsia"/>
          <w:b/>
          <w:bCs/>
          <w:sz w:val="28"/>
          <w:szCs w:val="36"/>
        </w:rPr>
        <w:t>6、抽样</w:t>
      </w:r>
    </w:p>
    <w:p>
      <w:pPr>
        <w:spacing w:line="360" w:lineRule="auto"/>
        <w:ind w:left="210" w:leftChars="100"/>
        <w:rPr>
          <w:sz w:val="24"/>
          <w:szCs w:val="32"/>
        </w:rPr>
      </w:pPr>
      <w:r>
        <w:rPr>
          <w:rFonts w:hint="eastAsia"/>
          <w:sz w:val="24"/>
          <w:szCs w:val="32"/>
        </w:rPr>
        <w:t>6.1、抽样方法</w:t>
      </w:r>
    </w:p>
    <w:p>
      <w:pPr>
        <w:spacing w:line="360" w:lineRule="auto"/>
        <w:ind w:firstLine="480" w:firstLineChars="200"/>
        <w:rPr>
          <w:sz w:val="24"/>
          <w:szCs w:val="32"/>
        </w:rPr>
      </w:pPr>
      <w:r>
        <w:rPr>
          <w:rFonts w:hint="eastAsia"/>
          <w:sz w:val="24"/>
          <w:szCs w:val="32"/>
        </w:rPr>
        <w:t>以随机抽样的方式取生产者</w:t>
      </w:r>
      <w:r>
        <w:rPr>
          <w:rFonts w:hint="eastAsia"/>
          <w:sz w:val="24"/>
          <w:szCs w:val="32"/>
          <w:lang w:eastAsia="zh-CN"/>
        </w:rPr>
        <w:t>，</w:t>
      </w:r>
      <w:r>
        <w:rPr>
          <w:rFonts w:hint="eastAsia"/>
          <w:sz w:val="24"/>
          <w:szCs w:val="32"/>
        </w:rPr>
        <w:t>随机选派抽样人员，</w:t>
      </w:r>
      <w:r>
        <w:rPr>
          <w:sz w:val="24"/>
          <w:szCs w:val="32"/>
        </w:rPr>
        <w:t>抽样人员不得少于两人，并向被抽样生产者、销售者出示组织监督抽查的市场监督管理部门出具的监督抽查通知书、抽样人员身份证明。</w:t>
      </w:r>
    </w:p>
    <w:p>
      <w:pPr>
        <w:spacing w:line="360" w:lineRule="auto"/>
        <w:ind w:firstLine="480" w:firstLineChars="200"/>
        <w:rPr>
          <w:sz w:val="24"/>
          <w:szCs w:val="32"/>
        </w:rPr>
      </w:pPr>
      <w:r>
        <w:rPr>
          <w:rFonts w:hint="eastAsia"/>
          <w:sz w:val="24"/>
          <w:szCs w:val="32"/>
        </w:rPr>
        <w:t>现场抽样在拌合站混凝土运输车中进行抽样，</w:t>
      </w:r>
      <w:r>
        <w:rPr>
          <w:rFonts w:hint="eastAsia"/>
          <w:color w:val="auto"/>
          <w:sz w:val="24"/>
          <w:szCs w:val="32"/>
          <w:u w:val="none"/>
        </w:rPr>
        <w:t>抽样样品以生产者现场实际生产的混凝土</w:t>
      </w:r>
      <w:r>
        <w:rPr>
          <w:rFonts w:hint="eastAsia"/>
          <w:color w:val="auto"/>
          <w:sz w:val="24"/>
          <w:szCs w:val="32"/>
          <w:u w:val="none"/>
          <w:lang w:val="en-US" w:eastAsia="zh-CN"/>
        </w:rPr>
        <w:t>配合比设计</w:t>
      </w:r>
      <w:r>
        <w:rPr>
          <w:rFonts w:hint="eastAsia"/>
          <w:color w:val="auto"/>
          <w:sz w:val="24"/>
          <w:szCs w:val="32"/>
          <w:u w:val="none"/>
        </w:rPr>
        <w:t>标号为准，</w:t>
      </w:r>
      <w:r>
        <w:rPr>
          <w:rFonts w:hint="eastAsia"/>
          <w:sz w:val="24"/>
          <w:szCs w:val="32"/>
        </w:rPr>
        <w:t>除拌和开始第一车外，依据GB/T50080-2016《普通混凝土拌合物性能试验方法标准》3.2.2条规定，在同一车中进行取样，罐车自转10分钟以后，每间隔3分钟取1组样品，每1组样品取样重新搅拌后依据GB/T50081-2019《混凝土物理力学性能试验方法标准》4.3.3条进行制样。</w:t>
      </w:r>
      <w:r>
        <w:rPr>
          <w:rFonts w:hint="eastAsia"/>
          <w:sz w:val="24"/>
          <w:szCs w:val="32"/>
          <w:lang w:val="en-US" w:eastAsia="zh-CN"/>
        </w:rPr>
        <w:t>对于坍落度小于25mm混凝土采用振动棒插倒的方式进行制件，对于坍落度在25mm至70mm的混凝土采用振动台成型的方式进行制件，</w:t>
      </w:r>
      <w:r>
        <w:rPr>
          <w:rFonts w:hint="eastAsia"/>
          <w:color w:val="auto"/>
          <w:sz w:val="24"/>
          <w:szCs w:val="32"/>
        </w:rPr>
        <w:t>对于坍落度大于70mm的混凝土采用人工插捣的方式进行制件，</w:t>
      </w:r>
      <w:r>
        <w:rPr>
          <w:rFonts w:hint="eastAsia"/>
          <w:sz w:val="24"/>
          <w:szCs w:val="32"/>
        </w:rPr>
        <w:t>现场抽样人员采用自带的自校合格的混凝土立方体抗压强度试模（150mm</w:t>
      </w:r>
      <w:r>
        <w:rPr>
          <w:rFonts w:hint="eastAsia" w:ascii="宋体" w:hAnsi="宋体" w:eastAsia="宋体"/>
          <w:sz w:val="24"/>
          <w:szCs w:val="32"/>
        </w:rPr>
        <w:t>×</w:t>
      </w:r>
      <w:r>
        <w:rPr>
          <w:rFonts w:hint="eastAsia"/>
          <w:sz w:val="24"/>
          <w:szCs w:val="32"/>
        </w:rPr>
        <w:t>150mm</w:t>
      </w:r>
      <w:r>
        <w:rPr>
          <w:rFonts w:hint="eastAsia" w:ascii="宋体" w:hAnsi="宋体" w:eastAsia="宋体"/>
          <w:sz w:val="24"/>
          <w:szCs w:val="32"/>
        </w:rPr>
        <w:t>×</w:t>
      </w:r>
      <w:r>
        <w:rPr>
          <w:rFonts w:hint="eastAsia"/>
          <w:sz w:val="24"/>
          <w:szCs w:val="32"/>
        </w:rPr>
        <w:t>150mm）6组，每次抽取混凝土试件6组（3组作为检测样品，3组作为复检样品），并对样品的取样、制件、封装通过拍照的方式进行记录。</w:t>
      </w:r>
    </w:p>
    <w:p>
      <w:pPr>
        <w:spacing w:line="360" w:lineRule="auto"/>
        <w:ind w:firstLine="240" w:firstLineChars="100"/>
        <w:rPr>
          <w:sz w:val="24"/>
          <w:szCs w:val="32"/>
        </w:rPr>
      </w:pPr>
      <w:r>
        <w:rPr>
          <w:rFonts w:hint="eastAsia"/>
          <w:sz w:val="24"/>
          <w:szCs w:val="32"/>
        </w:rPr>
        <w:t>6.2</w:t>
      </w:r>
      <w:r>
        <w:rPr>
          <w:rFonts w:hint="eastAsia"/>
          <w:color w:val="auto"/>
          <w:sz w:val="24"/>
          <w:szCs w:val="32"/>
        </w:rPr>
        <w:t>混凝土</w:t>
      </w:r>
      <w:r>
        <w:rPr>
          <w:rFonts w:hint="eastAsia"/>
          <w:color w:val="auto"/>
          <w:sz w:val="24"/>
          <w:szCs w:val="32"/>
          <w:lang w:val="en-US" w:eastAsia="zh-CN"/>
        </w:rPr>
        <w:t>配合比设计</w:t>
      </w:r>
      <w:r>
        <w:rPr>
          <w:rFonts w:hint="eastAsia"/>
          <w:color w:val="auto"/>
          <w:sz w:val="24"/>
          <w:szCs w:val="32"/>
        </w:rPr>
        <w:t>标号确认</w:t>
      </w:r>
    </w:p>
    <w:p>
      <w:pPr>
        <w:spacing w:line="360" w:lineRule="auto"/>
        <w:ind w:firstLine="480" w:firstLineChars="200"/>
        <w:rPr>
          <w:sz w:val="24"/>
          <w:szCs w:val="32"/>
        </w:rPr>
      </w:pPr>
      <w:r>
        <w:rPr>
          <w:rFonts w:hint="eastAsia"/>
          <w:sz w:val="24"/>
          <w:szCs w:val="32"/>
        </w:rPr>
        <w:t>查询混凝土搅拌站的生产室的实际生产配合比记录与上级质检部门批复的相应混凝土标号配合比记录是否一致，并查询相应混凝土罐车的混凝土跟车任务单，确认混凝土的实际标号，记录混凝土配合比信息，配合比信息应当经抽样人员和被抽样生产者确认签字。</w:t>
      </w:r>
    </w:p>
    <w:p>
      <w:pPr>
        <w:spacing w:line="360" w:lineRule="auto"/>
        <w:ind w:left="210" w:leftChars="100"/>
        <w:rPr>
          <w:sz w:val="24"/>
          <w:szCs w:val="32"/>
        </w:rPr>
      </w:pPr>
      <w:r>
        <w:rPr>
          <w:rFonts w:hint="eastAsia"/>
          <w:sz w:val="24"/>
          <w:szCs w:val="32"/>
        </w:rPr>
        <w:t>6.3、样品封存要求</w:t>
      </w:r>
    </w:p>
    <w:p>
      <w:pPr>
        <w:pStyle w:val="4"/>
        <w:widowControl/>
        <w:shd w:val="clear" w:color="auto" w:fill="FFFFFF"/>
        <w:spacing w:line="360" w:lineRule="auto"/>
        <w:ind w:firstLine="480" w:firstLineChars="200"/>
        <w:rPr>
          <w:szCs w:val="32"/>
        </w:rPr>
      </w:pPr>
      <w:r>
        <w:rPr>
          <w:rFonts w:hint="eastAsia"/>
          <w:szCs w:val="32"/>
        </w:rPr>
        <w:t>抽样人员应现场出具抽样文书，并采用样品封条对检测样品及备份样品进行现场封存，封条上注明受检单位、样品编号及规格、抽样日期、抽检人员及受检单位人员签字；</w:t>
      </w:r>
      <w:r>
        <w:rPr>
          <w:szCs w:val="32"/>
        </w:rPr>
        <w:t>抽样文书</w:t>
      </w:r>
      <w:r>
        <w:rPr>
          <w:rFonts w:hint="eastAsia"/>
          <w:szCs w:val="32"/>
        </w:rPr>
        <w:t>中应详细</w:t>
      </w:r>
      <w:r>
        <w:rPr>
          <w:szCs w:val="32"/>
        </w:rPr>
        <w:t>记录抽样信息，并对</w:t>
      </w:r>
      <w:r>
        <w:rPr>
          <w:rFonts w:hint="eastAsia"/>
          <w:szCs w:val="32"/>
        </w:rPr>
        <w:t>样品的配合比信息、样品的标号、</w:t>
      </w:r>
      <w:r>
        <w:rPr>
          <w:szCs w:val="32"/>
        </w:rPr>
        <w:t>抽样场所、贮存环境、被抽样产品的标识、库存数量</w:t>
      </w:r>
      <w:r>
        <w:rPr>
          <w:rFonts w:hint="eastAsia"/>
          <w:szCs w:val="32"/>
        </w:rPr>
        <w:t>以及样品使用工程部位进行记录，抽样文书</w:t>
      </w:r>
      <w:r>
        <w:rPr>
          <w:szCs w:val="32"/>
        </w:rPr>
        <w:t>应当经抽样人员和被抽样生产者签字。</w:t>
      </w:r>
    </w:p>
    <w:p>
      <w:pPr>
        <w:spacing w:line="360" w:lineRule="auto"/>
        <w:ind w:left="210" w:leftChars="100"/>
        <w:rPr>
          <w:sz w:val="24"/>
          <w:szCs w:val="32"/>
        </w:rPr>
      </w:pPr>
      <w:r>
        <w:rPr>
          <w:rFonts w:hint="eastAsia"/>
          <w:sz w:val="24"/>
          <w:szCs w:val="32"/>
        </w:rPr>
        <w:t>6.4、混凝土预养护条件确认</w:t>
      </w:r>
    </w:p>
    <w:p>
      <w:pPr>
        <w:spacing w:line="360" w:lineRule="auto"/>
        <w:ind w:firstLine="480" w:firstLineChars="200"/>
        <w:rPr>
          <w:sz w:val="24"/>
          <w:szCs w:val="32"/>
        </w:rPr>
      </w:pPr>
      <w:r>
        <w:rPr>
          <w:rFonts w:hint="eastAsia"/>
          <w:sz w:val="24"/>
          <w:szCs w:val="32"/>
        </w:rPr>
        <w:t xml:space="preserve"> 现场混凝土试件在未硬化之前，需在混凝土搅拌站预养护一天，现场记录搅拌站的养护环境条件并进行拍照记录，预养护结束后，预养护环境记录，预养护条件记录应当经抽样人员和被抽样生产者确认签字。</w:t>
      </w:r>
    </w:p>
    <w:p>
      <w:pPr>
        <w:spacing w:line="360" w:lineRule="auto"/>
        <w:ind w:left="210" w:leftChars="100"/>
        <w:rPr>
          <w:sz w:val="24"/>
          <w:szCs w:val="32"/>
        </w:rPr>
      </w:pPr>
      <w:r>
        <w:rPr>
          <w:rFonts w:hint="eastAsia"/>
          <w:sz w:val="24"/>
          <w:szCs w:val="32"/>
        </w:rPr>
        <w:t>6.5、混凝土试件运输</w:t>
      </w:r>
    </w:p>
    <w:p>
      <w:pPr>
        <w:spacing w:line="360" w:lineRule="auto"/>
        <w:ind w:firstLine="480" w:firstLineChars="200"/>
        <w:rPr>
          <w:color w:val="auto"/>
          <w:sz w:val="24"/>
          <w:szCs w:val="32"/>
        </w:rPr>
      </w:pPr>
      <w:r>
        <w:rPr>
          <w:rFonts w:hint="eastAsia"/>
          <w:color w:val="auto"/>
          <w:sz w:val="24"/>
          <w:szCs w:val="32"/>
        </w:rPr>
        <w:t>预养护结束后，由抽样单位对混凝土试件进行运输，运输过程中混凝土试件底部应加铺两层土工布，试件需单层摆放，试件与试件之间有适应的间距并由两层土工布进行隔离，</w:t>
      </w:r>
      <w:r>
        <w:rPr>
          <w:rFonts w:hint="eastAsia"/>
          <w:color w:val="auto"/>
          <w:sz w:val="24"/>
          <w:szCs w:val="32"/>
          <w:lang w:val="en-US" w:eastAsia="zh-CN"/>
        </w:rPr>
        <w:t>试件上部铺盖两层土工布并进行洒水养护，并用温度计对车内环境进行监控记录，保证混凝土试件运输过程中的养护条件满足要求，</w:t>
      </w:r>
      <w:r>
        <w:rPr>
          <w:rFonts w:hint="eastAsia"/>
          <w:color w:val="auto"/>
          <w:sz w:val="24"/>
          <w:szCs w:val="32"/>
        </w:rPr>
        <w:t>运输过程中</w:t>
      </w:r>
      <w:r>
        <w:rPr>
          <w:rFonts w:hint="eastAsia"/>
          <w:color w:val="auto"/>
          <w:sz w:val="24"/>
          <w:szCs w:val="32"/>
          <w:lang w:val="en-US" w:eastAsia="zh-CN"/>
        </w:rPr>
        <w:t>车辆</w:t>
      </w:r>
      <w:r>
        <w:rPr>
          <w:rFonts w:hint="eastAsia"/>
          <w:color w:val="auto"/>
          <w:sz w:val="24"/>
          <w:szCs w:val="32"/>
        </w:rPr>
        <w:t>行驶</w:t>
      </w:r>
      <w:r>
        <w:rPr>
          <w:rFonts w:hint="eastAsia"/>
          <w:color w:val="auto"/>
          <w:sz w:val="24"/>
          <w:szCs w:val="32"/>
          <w:lang w:val="en-US" w:eastAsia="zh-CN"/>
        </w:rPr>
        <w:t>平稳无颠簸</w:t>
      </w:r>
      <w:r>
        <w:rPr>
          <w:rFonts w:hint="eastAsia"/>
          <w:color w:val="auto"/>
          <w:sz w:val="24"/>
          <w:szCs w:val="32"/>
        </w:rPr>
        <w:t>，防止混凝土试件在运输过程中损坏，并对混凝土试件的运输过程通过拍照的形式进行记录。</w:t>
      </w:r>
    </w:p>
    <w:p>
      <w:pPr>
        <w:pStyle w:val="4"/>
        <w:widowControl/>
        <w:shd w:val="clear" w:color="auto" w:fill="FFFFFF"/>
        <w:spacing w:line="360" w:lineRule="auto"/>
        <w:rPr>
          <w:b/>
          <w:bCs/>
          <w:sz w:val="28"/>
          <w:szCs w:val="36"/>
        </w:rPr>
      </w:pPr>
      <w:r>
        <w:rPr>
          <w:rFonts w:hint="eastAsia"/>
          <w:b/>
          <w:bCs/>
          <w:sz w:val="28"/>
          <w:szCs w:val="36"/>
        </w:rPr>
        <w:t>7、检测过程</w:t>
      </w:r>
    </w:p>
    <w:p>
      <w:pPr>
        <w:spacing w:line="360" w:lineRule="auto"/>
        <w:ind w:left="210" w:leftChars="100"/>
        <w:rPr>
          <w:sz w:val="24"/>
          <w:szCs w:val="32"/>
        </w:rPr>
      </w:pPr>
      <w:r>
        <w:rPr>
          <w:rFonts w:hint="eastAsia"/>
          <w:sz w:val="24"/>
          <w:szCs w:val="32"/>
        </w:rPr>
        <w:t>7.1、养护</w:t>
      </w:r>
    </w:p>
    <w:p>
      <w:pPr>
        <w:spacing w:line="360" w:lineRule="auto"/>
        <w:ind w:firstLine="480" w:firstLineChars="200"/>
        <w:rPr>
          <w:sz w:val="24"/>
          <w:szCs w:val="32"/>
        </w:rPr>
      </w:pPr>
      <w:r>
        <w:rPr>
          <w:rFonts w:hint="eastAsia"/>
          <w:sz w:val="24"/>
          <w:szCs w:val="32"/>
        </w:rPr>
        <w:t>检验检测单位应依据GB/T50081-2019《混凝土物理力学性能试验方法标准》4.4.1条中规定的标准养护的方法对样品进行养护，养护龄期为28天，并对样品的接收、养护通过拍照的方式进行记录。</w:t>
      </w:r>
    </w:p>
    <w:p>
      <w:pPr>
        <w:spacing w:line="360" w:lineRule="auto"/>
        <w:ind w:left="210" w:leftChars="100"/>
        <w:rPr>
          <w:sz w:val="24"/>
          <w:szCs w:val="32"/>
        </w:rPr>
      </w:pPr>
      <w:r>
        <w:rPr>
          <w:rFonts w:hint="eastAsia"/>
          <w:sz w:val="24"/>
          <w:szCs w:val="32"/>
        </w:rPr>
        <w:t>7.2、检测</w:t>
      </w:r>
    </w:p>
    <w:p>
      <w:pPr>
        <w:spacing w:line="360" w:lineRule="auto"/>
        <w:ind w:firstLine="480"/>
        <w:rPr>
          <w:sz w:val="24"/>
          <w:szCs w:val="32"/>
        </w:rPr>
      </w:pPr>
      <w:r>
        <w:rPr>
          <w:rFonts w:hint="eastAsia"/>
          <w:sz w:val="24"/>
          <w:szCs w:val="32"/>
        </w:rPr>
        <w:t>待样品养护到规定龄期后，检验检测单位应依据GB/T50081-2019《混凝土物理力学性能试验方法标准》进行试验检测，出具检验检测报告，并对样品的检测全过程通过拍照的方式进行影像记录。</w:t>
      </w:r>
    </w:p>
    <w:p>
      <w:pPr>
        <w:spacing w:line="360" w:lineRule="auto"/>
        <w:ind w:left="210" w:leftChars="100"/>
        <w:rPr>
          <w:sz w:val="24"/>
          <w:szCs w:val="32"/>
        </w:rPr>
      </w:pPr>
      <w:r>
        <w:rPr>
          <w:rFonts w:hint="eastAsia"/>
          <w:sz w:val="24"/>
          <w:szCs w:val="32"/>
        </w:rPr>
        <w:t>7.3、留样</w:t>
      </w:r>
    </w:p>
    <w:p>
      <w:pPr>
        <w:spacing w:line="360" w:lineRule="auto"/>
        <w:ind w:firstLine="480"/>
        <w:rPr>
          <w:sz w:val="24"/>
          <w:szCs w:val="32"/>
        </w:rPr>
      </w:pPr>
      <w:r>
        <w:rPr>
          <w:sz w:val="24"/>
          <w:szCs w:val="32"/>
        </w:rPr>
        <w:t>检验</w:t>
      </w:r>
      <w:r>
        <w:rPr>
          <w:rFonts w:hint="eastAsia"/>
          <w:sz w:val="24"/>
          <w:szCs w:val="32"/>
        </w:rPr>
        <w:t>检测单位检测完毕后</w:t>
      </w:r>
      <w:r>
        <w:rPr>
          <w:sz w:val="24"/>
          <w:szCs w:val="32"/>
        </w:rPr>
        <w:t>，应当</w:t>
      </w:r>
      <w:r>
        <w:rPr>
          <w:rFonts w:hint="eastAsia"/>
          <w:sz w:val="24"/>
          <w:szCs w:val="32"/>
        </w:rPr>
        <w:t>对3组复检样品</w:t>
      </w:r>
      <w:r>
        <w:rPr>
          <w:sz w:val="24"/>
          <w:szCs w:val="32"/>
        </w:rPr>
        <w:t>加贴相应标识，按照有关要求予以存放</w:t>
      </w:r>
      <w:r>
        <w:rPr>
          <w:rFonts w:hint="eastAsia"/>
          <w:sz w:val="24"/>
          <w:szCs w:val="32"/>
        </w:rPr>
        <w:t>，并对样品的留样全过程通过拍照的方式进行影像记录。</w:t>
      </w:r>
    </w:p>
    <w:p>
      <w:pPr>
        <w:spacing w:line="360" w:lineRule="auto"/>
        <w:rPr>
          <w:b/>
          <w:bCs/>
          <w:sz w:val="28"/>
          <w:szCs w:val="36"/>
        </w:rPr>
      </w:pPr>
      <w:r>
        <w:rPr>
          <w:rFonts w:hint="eastAsia"/>
          <w:b/>
          <w:bCs/>
          <w:sz w:val="28"/>
          <w:szCs w:val="36"/>
        </w:rPr>
        <w:t>8、结果处理</w:t>
      </w:r>
    </w:p>
    <w:p>
      <w:pPr>
        <w:spacing w:line="360" w:lineRule="auto"/>
        <w:ind w:firstLine="480" w:firstLineChars="200"/>
        <w:rPr>
          <w:sz w:val="24"/>
          <w:szCs w:val="32"/>
        </w:rPr>
      </w:pPr>
      <w:r>
        <w:rPr>
          <w:rFonts w:hint="eastAsia" w:ascii="宋体" w:hAnsi="宋体" w:eastAsia="宋体" w:cs="宋体"/>
          <w:sz w:val="24"/>
          <w:szCs w:val="32"/>
        </w:rPr>
        <w:t>依据</w:t>
      </w:r>
      <w:r>
        <w:rPr>
          <w:rFonts w:hint="eastAsia"/>
          <w:sz w:val="24"/>
          <w:szCs w:val="32"/>
        </w:rPr>
        <w:t>GB/T50107-2010《混凝土强度检验评定标准》中5.1</w:t>
      </w:r>
      <w:r>
        <w:rPr>
          <w:rFonts w:hint="eastAsia"/>
          <w:sz w:val="22"/>
          <w:szCs w:val="28"/>
        </w:rPr>
        <w:t>条</w:t>
      </w:r>
      <w:r>
        <w:rPr>
          <w:rFonts w:hint="eastAsia"/>
          <w:sz w:val="24"/>
          <w:szCs w:val="32"/>
        </w:rPr>
        <w:t>，一个检验批的样本容量应为连续的3组试件其强度应符合下列规定：</w:t>
      </w:r>
    </w:p>
    <w:p>
      <w:pPr>
        <w:spacing w:line="360" w:lineRule="auto"/>
        <w:ind w:firstLine="2462" w:firstLineChars="1026"/>
        <w:rPr>
          <w:sz w:val="24"/>
          <w:szCs w:val="32"/>
        </w:rPr>
      </w:pPr>
      <m:oMathPara>
        <m:oMath>
          <m:r>
            <m:rPr>
              <m:sty m:val="p"/>
            </m:rPr>
            <w:rPr>
              <w:rFonts w:ascii="Cambria Math" w:hAnsi="Cambria Math"/>
              <w:sz w:val="24"/>
              <w:szCs w:val="32"/>
            </w:rPr>
            <m:t>m</m:t>
          </m:r>
          <m:sSub>
            <m:sSubPr>
              <m:ctrlPr>
                <w:rPr>
                  <w:rFonts w:ascii="Cambria Math" w:hAnsi="Cambria Math"/>
                  <w:sz w:val="24"/>
                  <w:szCs w:val="32"/>
                </w:rPr>
              </m:ctrlPr>
            </m:sSubPr>
            <m:e>
              <m:r>
                <w:rPr>
                  <w:rFonts w:ascii="Cambria Math" w:hAnsi="Cambria Math"/>
                  <w:sz w:val="24"/>
                  <w:szCs w:val="32"/>
                </w:rPr>
                <m:t>f</m:t>
              </m:r>
              <m:ctrlPr>
                <w:rPr>
                  <w:rFonts w:ascii="Cambria Math" w:hAnsi="Cambria Math"/>
                  <w:sz w:val="24"/>
                  <w:szCs w:val="32"/>
                </w:rPr>
              </m:ctrlPr>
            </m:e>
            <m:sub>
              <m:r>
                <w:rPr>
                  <w:rFonts w:ascii="Cambria Math" w:hAnsi="Cambria Math"/>
                  <w:sz w:val="24"/>
                  <w:szCs w:val="32"/>
                </w:rPr>
                <m:t>cu</m:t>
              </m:r>
              <m:ctrlPr>
                <w:rPr>
                  <w:rFonts w:ascii="Cambria Math" w:hAnsi="Cambria Math"/>
                  <w:sz w:val="24"/>
                  <w:szCs w:val="32"/>
                </w:rPr>
              </m:ctrlPr>
            </m:sub>
          </m:sSub>
          <m:r>
            <w:rPr>
              <w:rFonts w:ascii="Cambria Math" w:hAnsi="Cambria Math"/>
              <w:sz w:val="24"/>
              <w:szCs w:val="32"/>
            </w:rPr>
            <m:t>≥</m:t>
          </m:r>
          <m:sSub>
            <m:sSubPr>
              <m:ctrlPr>
                <w:rPr>
                  <w:rFonts w:ascii="Cambria Math" w:hAnsi="Cambria Math"/>
                  <w:i/>
                  <w:sz w:val="24"/>
                  <w:szCs w:val="32"/>
                </w:rPr>
              </m:ctrlPr>
            </m:sSubPr>
            <m:e>
              <m:r>
                <w:rPr>
                  <w:rFonts w:ascii="Cambria Math" w:hAnsi="Cambria Math"/>
                  <w:sz w:val="24"/>
                  <w:szCs w:val="32"/>
                </w:rPr>
                <m:t>f</m:t>
              </m:r>
              <m:ctrlPr>
                <w:rPr>
                  <w:rFonts w:ascii="Cambria Math" w:hAnsi="Cambria Math"/>
                  <w:i/>
                  <w:sz w:val="24"/>
                  <w:szCs w:val="32"/>
                </w:rPr>
              </m:ctrlPr>
            </m:e>
            <m:sub>
              <m:r>
                <w:rPr>
                  <w:rFonts w:ascii="Cambria Math" w:hAnsi="Cambria Math"/>
                  <w:sz w:val="24"/>
                  <w:szCs w:val="32"/>
                </w:rPr>
                <m:t>cu,k</m:t>
              </m:r>
              <m:ctrlPr>
                <w:rPr>
                  <w:rFonts w:ascii="Cambria Math" w:hAnsi="Cambria Math"/>
                  <w:i/>
                  <w:sz w:val="24"/>
                  <w:szCs w:val="32"/>
                </w:rPr>
              </m:ctrlPr>
            </m:sub>
          </m:sSub>
          <m:r>
            <w:rPr>
              <w:rFonts w:ascii="Cambria Math" w:hAnsi="Cambria Math"/>
              <w:sz w:val="24"/>
              <w:szCs w:val="32"/>
            </w:rPr>
            <m:t>+0.7δ</m:t>
          </m:r>
        </m:oMath>
      </m:oMathPara>
    </w:p>
    <w:p>
      <w:pPr>
        <w:spacing w:line="360" w:lineRule="auto"/>
        <w:ind w:firstLine="2462" w:firstLineChars="1026"/>
        <w:rPr>
          <w:sz w:val="24"/>
          <w:szCs w:val="32"/>
        </w:rPr>
      </w:pPr>
      <m:oMathPara>
        <m:oMath>
          <m:sSub>
            <m:sSubPr>
              <m:ctrlPr>
                <w:rPr>
                  <w:rFonts w:ascii="Cambria Math" w:hAnsi="Cambria Math"/>
                  <w:sz w:val="24"/>
                  <w:szCs w:val="32"/>
                </w:rPr>
              </m:ctrlPr>
            </m:sSubPr>
            <m:e>
              <m:r>
                <w:rPr>
                  <w:rFonts w:ascii="Cambria Math" w:hAnsi="Cambria Math"/>
                  <w:sz w:val="24"/>
                  <w:szCs w:val="32"/>
                </w:rPr>
                <m:t>f</m:t>
              </m:r>
              <m:ctrlPr>
                <w:rPr>
                  <w:rFonts w:ascii="Cambria Math" w:hAnsi="Cambria Math"/>
                  <w:sz w:val="24"/>
                  <w:szCs w:val="32"/>
                </w:rPr>
              </m:ctrlPr>
            </m:e>
            <m:sub>
              <m:r>
                <w:rPr>
                  <w:rFonts w:ascii="Cambria Math" w:hAnsi="Cambria Math"/>
                  <w:sz w:val="24"/>
                  <w:szCs w:val="32"/>
                </w:rPr>
                <m:t>cu,min</m:t>
              </m:r>
              <m:ctrlPr>
                <w:rPr>
                  <w:rFonts w:ascii="Cambria Math" w:hAnsi="Cambria Math"/>
                  <w:sz w:val="24"/>
                  <w:szCs w:val="32"/>
                </w:rPr>
              </m:ctrlPr>
            </m:sub>
          </m:sSub>
          <m:r>
            <w:rPr>
              <w:rFonts w:ascii="Cambria Math" w:hAnsi="Cambria Math"/>
              <w:sz w:val="24"/>
              <w:szCs w:val="32"/>
            </w:rPr>
            <m:t>≥</m:t>
          </m:r>
          <m:sSub>
            <m:sSubPr>
              <m:ctrlPr>
                <w:rPr>
                  <w:rFonts w:ascii="Cambria Math" w:hAnsi="Cambria Math"/>
                  <w:i/>
                  <w:sz w:val="24"/>
                  <w:szCs w:val="32"/>
                </w:rPr>
              </m:ctrlPr>
            </m:sSubPr>
            <m:e>
              <m:r>
                <w:rPr>
                  <w:rFonts w:ascii="Cambria Math" w:hAnsi="Cambria Math"/>
                  <w:sz w:val="24"/>
                  <w:szCs w:val="32"/>
                </w:rPr>
                <m:t>f</m:t>
              </m:r>
              <m:ctrlPr>
                <w:rPr>
                  <w:rFonts w:ascii="Cambria Math" w:hAnsi="Cambria Math"/>
                  <w:i/>
                  <w:sz w:val="24"/>
                  <w:szCs w:val="32"/>
                </w:rPr>
              </m:ctrlPr>
            </m:e>
            <m:sub>
              <m:r>
                <w:rPr>
                  <w:rFonts w:ascii="Cambria Math" w:hAnsi="Cambria Math"/>
                  <w:sz w:val="24"/>
                  <w:szCs w:val="32"/>
                </w:rPr>
                <m:t>cu,k</m:t>
              </m:r>
              <m:ctrlPr>
                <w:rPr>
                  <w:rFonts w:ascii="Cambria Math" w:hAnsi="Cambria Math"/>
                  <w:i/>
                  <w:sz w:val="24"/>
                  <w:szCs w:val="32"/>
                </w:rPr>
              </m:ctrlPr>
            </m:sub>
          </m:sSub>
          <m:r>
            <w:rPr>
              <w:rFonts w:ascii="Cambria Math" w:hAnsi="Cambria Math"/>
              <w:sz w:val="24"/>
              <w:szCs w:val="32"/>
            </w:rPr>
            <m:t>-0.7δ</m:t>
          </m:r>
        </m:oMath>
      </m:oMathPara>
    </w:p>
    <w:p>
      <w:pPr>
        <w:spacing w:line="360" w:lineRule="auto"/>
        <w:ind w:firstLine="480" w:firstLineChars="200"/>
        <w:rPr>
          <w:sz w:val="24"/>
          <w:szCs w:val="32"/>
        </w:rPr>
      </w:pPr>
      <m:oMath>
        <m:sSub>
          <m:sSubPr>
            <m:ctrlPr>
              <w:rPr>
                <w:rFonts w:ascii="Cambria Math" w:hAnsi="Cambria Math"/>
                <w:sz w:val="24"/>
                <w:szCs w:val="32"/>
              </w:rPr>
            </m:ctrlPr>
          </m:sSubPr>
          <m:e>
            <m:r>
              <m:rPr>
                <m:sty m:val="p"/>
              </m:rPr>
              <w:rPr>
                <w:rFonts w:hint="eastAsia" w:ascii="Cambria Math" w:hAnsi="Cambria Math"/>
                <w:sz w:val="24"/>
                <w:szCs w:val="32"/>
              </w:rPr>
              <m:t>mf</m:t>
            </m:r>
            <m:ctrlPr>
              <w:rPr>
                <w:rFonts w:ascii="Cambria Math" w:hAnsi="Cambria Math"/>
                <w:sz w:val="24"/>
                <w:szCs w:val="32"/>
              </w:rPr>
            </m:ctrlPr>
          </m:e>
          <m:sub>
            <m:r>
              <w:rPr>
                <w:rFonts w:ascii="Cambria Math" w:hAnsi="Cambria Math"/>
                <w:sz w:val="24"/>
                <w:szCs w:val="32"/>
              </w:rPr>
              <m:t>cu</m:t>
            </m:r>
            <m:ctrlPr>
              <w:rPr>
                <w:rFonts w:ascii="Cambria Math" w:hAnsi="Cambria Math"/>
                <w:sz w:val="24"/>
                <w:szCs w:val="32"/>
              </w:rPr>
            </m:ctrlPr>
          </m:sub>
        </m:sSub>
      </m:oMath>
      <w:r>
        <w:rPr>
          <w:rFonts w:hint="eastAsia"/>
          <w:sz w:val="24"/>
          <w:szCs w:val="32"/>
        </w:rPr>
        <w:t xml:space="preserve"> 为3组试件的抗压强度平均值；</w:t>
      </w:r>
    </w:p>
    <w:p>
      <w:pPr>
        <w:spacing w:line="360" w:lineRule="auto"/>
        <w:ind w:firstLine="480" w:firstLineChars="200"/>
        <w:rPr>
          <w:sz w:val="24"/>
          <w:szCs w:val="32"/>
        </w:rPr>
      </w:pPr>
      <m:oMath>
        <m:sSub>
          <m:sSubPr>
            <m:ctrlPr>
              <w:rPr>
                <w:rFonts w:ascii="Cambria Math" w:hAnsi="Cambria Math"/>
                <w:sz w:val="24"/>
                <w:szCs w:val="32"/>
              </w:rPr>
            </m:ctrlPr>
          </m:sSubPr>
          <m:e>
            <m:r>
              <w:rPr>
                <w:rFonts w:ascii="Cambria Math" w:hAnsi="Cambria Math"/>
                <w:sz w:val="24"/>
                <w:szCs w:val="32"/>
              </w:rPr>
              <m:t>f</m:t>
            </m:r>
            <m:ctrlPr>
              <w:rPr>
                <w:rFonts w:ascii="Cambria Math" w:hAnsi="Cambria Math"/>
                <w:sz w:val="24"/>
                <w:szCs w:val="32"/>
              </w:rPr>
            </m:ctrlPr>
          </m:e>
          <m:sub>
            <m:r>
              <w:rPr>
                <w:rFonts w:ascii="Cambria Math" w:hAnsi="Cambria Math"/>
                <w:sz w:val="24"/>
                <w:szCs w:val="32"/>
              </w:rPr>
              <m:t>cu,k</m:t>
            </m:r>
            <m:ctrlPr>
              <w:rPr>
                <w:rFonts w:ascii="Cambria Math" w:hAnsi="Cambria Math"/>
                <w:sz w:val="24"/>
                <w:szCs w:val="32"/>
              </w:rPr>
            </m:ctrlPr>
          </m:sub>
        </m:sSub>
      </m:oMath>
      <w:r>
        <w:rPr>
          <w:rFonts w:hint="eastAsia"/>
          <w:sz w:val="24"/>
          <w:szCs w:val="32"/>
        </w:rPr>
        <w:t xml:space="preserve"> 为抽检混凝土抗压强度的标准值；</w:t>
      </w:r>
    </w:p>
    <w:p>
      <w:pPr>
        <w:spacing w:line="360" w:lineRule="auto"/>
        <w:ind w:firstLine="480" w:firstLineChars="200"/>
        <w:rPr>
          <w:rFonts w:ascii="宋体" w:hAnsi="宋体" w:eastAsia="宋体" w:cs="宋体"/>
          <w:sz w:val="24"/>
          <w:szCs w:val="32"/>
        </w:rPr>
      </w:pPr>
      <w:r>
        <w:rPr>
          <w:rFonts w:hint="eastAsia" w:ascii="宋体" w:hAnsi="宋体" w:eastAsia="宋体" w:cs="宋体"/>
          <w:sz w:val="24"/>
          <w:szCs w:val="32"/>
        </w:rPr>
        <w:t>δ   为3组混凝土抗压强度检测值的标准差；</w:t>
      </w:r>
    </w:p>
    <w:p>
      <w:pPr>
        <w:spacing w:line="360" w:lineRule="auto"/>
        <w:ind w:firstLine="480" w:firstLineChars="200"/>
        <w:rPr>
          <w:rFonts w:ascii="宋体" w:hAnsi="宋体" w:eastAsia="宋体" w:cs="宋体"/>
          <w:sz w:val="24"/>
          <w:szCs w:val="32"/>
        </w:rPr>
      </w:pPr>
      <m:oMath>
        <m:sSub>
          <m:sSubPr>
            <m:ctrlPr>
              <w:rPr>
                <w:rFonts w:ascii="Cambria Math" w:hAnsi="Cambria Math" w:eastAsia="宋体" w:cs="宋体"/>
                <w:sz w:val="24"/>
                <w:szCs w:val="32"/>
              </w:rPr>
            </m:ctrlPr>
          </m:sSubPr>
          <m:e>
            <m:r>
              <w:rPr>
                <w:rFonts w:ascii="Cambria Math" w:hAnsi="Cambria Math" w:eastAsia="宋体" w:cs="宋体"/>
                <w:sz w:val="24"/>
                <w:szCs w:val="32"/>
              </w:rPr>
              <m:t>f</m:t>
            </m:r>
            <m:ctrlPr>
              <w:rPr>
                <w:rFonts w:ascii="Cambria Math" w:hAnsi="Cambria Math" w:eastAsia="宋体" w:cs="宋体"/>
                <w:sz w:val="24"/>
                <w:szCs w:val="32"/>
              </w:rPr>
            </m:ctrlPr>
          </m:e>
          <m:sub>
            <m:r>
              <w:rPr>
                <w:rFonts w:ascii="Cambria Math" w:hAnsi="Cambria Math" w:eastAsia="宋体" w:cs="宋体"/>
                <w:sz w:val="24"/>
                <w:szCs w:val="32"/>
              </w:rPr>
              <m:t>cu,min</m:t>
            </m:r>
            <m:ctrlPr>
              <w:rPr>
                <w:rFonts w:ascii="Cambria Math" w:hAnsi="Cambria Math" w:eastAsia="宋体" w:cs="宋体"/>
                <w:sz w:val="24"/>
                <w:szCs w:val="32"/>
              </w:rPr>
            </m:ctrlPr>
          </m:sub>
        </m:sSub>
      </m:oMath>
      <w:r>
        <w:rPr>
          <w:rFonts w:hint="eastAsia" w:ascii="宋体" w:hAnsi="宋体" w:eastAsia="宋体" w:cs="宋体"/>
          <w:sz w:val="24"/>
          <w:szCs w:val="32"/>
        </w:rPr>
        <w:t xml:space="preserve"> 为3组混凝土抗压强度的最小值；</w:t>
      </w:r>
    </w:p>
    <w:p>
      <w:pPr>
        <w:spacing w:line="360" w:lineRule="auto"/>
        <w:ind w:firstLine="480"/>
        <w:rPr>
          <w:rFonts w:ascii="宋体" w:hAnsi="宋体" w:eastAsia="宋体" w:cs="宋体"/>
          <w:sz w:val="24"/>
          <w:szCs w:val="32"/>
        </w:rPr>
      </w:pPr>
      <w:r>
        <w:rPr>
          <w:rFonts w:hint="eastAsia" w:ascii="宋体" w:hAnsi="宋体" w:eastAsia="宋体" w:cs="宋体"/>
          <w:sz w:val="24"/>
          <w:szCs w:val="32"/>
        </w:rPr>
        <w:t>当混凝土强度检测结果平均值和最小值均满足要求时，则判定抽查结果为合格，当平均值和最小值有一项不合格时，则判定抽查结果为不合格。</w:t>
      </w:r>
    </w:p>
    <w:p>
      <w:pPr>
        <w:spacing w:line="360" w:lineRule="auto"/>
        <w:rPr>
          <w:b/>
          <w:bCs/>
          <w:sz w:val="28"/>
          <w:szCs w:val="36"/>
        </w:rPr>
      </w:pPr>
      <w:r>
        <w:rPr>
          <w:rFonts w:hint="eastAsia"/>
          <w:b/>
          <w:bCs/>
          <w:sz w:val="28"/>
          <w:szCs w:val="36"/>
        </w:rPr>
        <w:t>9、异议处理</w:t>
      </w:r>
    </w:p>
    <w:p>
      <w:pPr>
        <w:spacing w:line="360" w:lineRule="auto"/>
        <w:ind w:firstLine="480"/>
        <w:rPr>
          <w:color w:val="auto"/>
          <w:sz w:val="24"/>
          <w:szCs w:val="32"/>
        </w:rPr>
      </w:pPr>
      <w:r>
        <w:rPr>
          <w:rFonts w:hint="eastAsia"/>
          <w:color w:val="auto"/>
          <w:sz w:val="24"/>
          <w:szCs w:val="32"/>
        </w:rPr>
        <w:t>由于商品混凝土的特殊性</w:t>
      </w:r>
      <w:r>
        <w:rPr>
          <w:rFonts w:hint="eastAsia"/>
          <w:color w:val="auto"/>
          <w:sz w:val="24"/>
          <w:szCs w:val="32"/>
          <w:lang w:val="en-US" w:eastAsia="zh-CN"/>
        </w:rPr>
        <w:t>和时效性</w:t>
      </w:r>
      <w:r>
        <w:rPr>
          <w:rFonts w:hint="eastAsia"/>
          <w:color w:val="auto"/>
          <w:sz w:val="24"/>
          <w:szCs w:val="32"/>
        </w:rPr>
        <w:t>，对混凝土</w:t>
      </w:r>
      <w:r>
        <w:rPr>
          <w:rFonts w:hint="eastAsia"/>
          <w:color w:val="auto"/>
          <w:sz w:val="24"/>
          <w:szCs w:val="32"/>
          <w:lang w:val="en-US" w:eastAsia="zh-CN"/>
        </w:rPr>
        <w:t>抗压强度</w:t>
      </w:r>
      <w:r>
        <w:rPr>
          <w:rFonts w:hint="eastAsia"/>
          <w:color w:val="auto"/>
          <w:sz w:val="24"/>
          <w:szCs w:val="32"/>
        </w:rPr>
        <w:t>不做复检处理，但检测结果不合格的样品，应立即启用复检样品</w:t>
      </w:r>
      <w:r>
        <w:rPr>
          <w:rFonts w:hint="eastAsia"/>
          <w:color w:val="auto"/>
          <w:sz w:val="24"/>
          <w:szCs w:val="32"/>
          <w:lang w:val="en-US" w:eastAsia="zh-CN"/>
        </w:rPr>
        <w:t>在混凝土试件标准养护28天时</w:t>
      </w:r>
      <w:r>
        <w:rPr>
          <w:rFonts w:hint="eastAsia"/>
          <w:color w:val="auto"/>
          <w:sz w:val="24"/>
          <w:szCs w:val="32"/>
        </w:rPr>
        <w:t>当天进行检测，检测全过程通过视频拍照的形式进行记录，作为异议处理时的</w:t>
      </w:r>
      <w:r>
        <w:rPr>
          <w:rFonts w:hint="eastAsia"/>
          <w:color w:val="auto"/>
          <w:sz w:val="24"/>
          <w:szCs w:val="32"/>
          <w:lang w:val="en-US" w:eastAsia="zh-CN"/>
        </w:rPr>
        <w:t>参考</w:t>
      </w:r>
      <w:r>
        <w:rPr>
          <w:rFonts w:hint="eastAsia"/>
          <w:color w:val="auto"/>
          <w:sz w:val="24"/>
          <w:szCs w:val="32"/>
        </w:rPr>
        <w:t>依据。</w:t>
      </w:r>
    </w:p>
    <w:p>
      <w:pPr>
        <w:numPr>
          <w:ilvl w:val="0"/>
          <w:numId w:val="1"/>
        </w:numPr>
        <w:spacing w:line="360" w:lineRule="auto"/>
        <w:rPr>
          <w:b/>
          <w:bCs/>
          <w:sz w:val="28"/>
          <w:szCs w:val="36"/>
        </w:rPr>
      </w:pPr>
      <w:r>
        <w:rPr>
          <w:rFonts w:hint="eastAsia"/>
          <w:b/>
          <w:bCs/>
          <w:sz w:val="28"/>
          <w:szCs w:val="36"/>
        </w:rPr>
        <w:t>附则</w:t>
      </w:r>
    </w:p>
    <w:p>
      <w:pPr>
        <w:spacing w:line="360" w:lineRule="auto"/>
        <w:ind w:firstLine="480" w:firstLineChars="200"/>
        <w:rPr>
          <w:sz w:val="24"/>
          <w:szCs w:val="32"/>
        </w:rPr>
      </w:pPr>
      <w:r>
        <w:rPr>
          <w:rFonts w:hint="eastAsia"/>
          <w:sz w:val="24"/>
          <w:szCs w:val="32"/>
        </w:rPr>
        <w:t>本细则编制单位：西藏正信工程检测技术有限公司。</w:t>
      </w:r>
    </w:p>
    <w:p>
      <w:pPr>
        <w:spacing w:line="360" w:lineRule="auto"/>
        <w:ind w:firstLine="480"/>
        <w:rPr>
          <w:sz w:val="24"/>
          <w:szCs w:val="32"/>
        </w:rPr>
      </w:pPr>
      <w:r>
        <w:rPr>
          <w:rFonts w:hint="eastAsia"/>
          <w:sz w:val="24"/>
          <w:szCs w:val="32"/>
        </w:rPr>
        <w:t>本细则主要起草人：李涛涛</w:t>
      </w:r>
    </w:p>
    <w:p>
      <w:pPr>
        <w:spacing w:line="360" w:lineRule="auto"/>
        <w:ind w:firstLine="480"/>
      </w:pPr>
      <w:r>
        <w:rPr>
          <w:rFonts w:hint="eastAsia"/>
          <w:sz w:val="24"/>
          <w:szCs w:val="32"/>
        </w:rPr>
        <w:t>本细则由西藏正信工程检测技术有限公司管理。</w:t>
      </w:r>
    </w:p>
    <w:p/>
    <w:p>
      <w:pPr>
        <w:spacing w:line="360" w:lineRule="auto"/>
      </w:pPr>
    </w:p>
    <w:p/>
    <w:sectPr>
      <w:footerReference r:id="rId3" w:type="default"/>
      <w:pgSz w:w="11906" w:h="16838"/>
      <w:pgMar w:top="1247" w:right="1800" w:bottom="1247"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4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4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06E11C"/>
    <w:multiLevelType w:val="singleLevel"/>
    <w:tmpl w:val="D806E11C"/>
    <w:lvl w:ilvl="0" w:tentative="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32085B"/>
    <w:rsid w:val="33950C07"/>
    <w:rsid w:val="4E3208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3"/>
      <w:szCs w:val="23"/>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1"/>
    <w:basedOn w:val="1"/>
    <w:qFormat/>
    <w:uiPriority w:val="0"/>
    <w:pPr>
      <w:spacing w:before="156" w:beforeLines="50" w:line="440" w:lineRule="exact"/>
      <w:jc w:val="center"/>
    </w:pPr>
    <w:rPr>
      <w:rFonts w:ascii="方正大标宋简体" w:hAnsi="宋体" w:eastAsia="方正大标宋简体"/>
      <w:w w:val="110"/>
      <w:sz w:val="44"/>
      <w:szCs w:val="44"/>
    </w:rPr>
  </w:style>
  <w:style w:type="paragraph" w:customStyle="1" w:styleId="9">
    <w:name w:val="2"/>
    <w:basedOn w:val="1"/>
    <w:qFormat/>
    <w:uiPriority w:val="0"/>
    <w:pPr>
      <w:spacing w:before="156" w:beforeLines="50" w:line="440" w:lineRule="exact"/>
      <w:jc w:val="right"/>
    </w:pPr>
    <w:rPr>
      <w:rFonts w:ascii="Arial" w:hAnsi="Arial" w:cs="Arial"/>
      <w:sz w:val="24"/>
    </w:rPr>
  </w:style>
  <w:style w:type="paragraph" w:customStyle="1" w:styleId="10">
    <w:name w:val="3"/>
    <w:basedOn w:val="1"/>
    <w:qFormat/>
    <w:uiPriority w:val="0"/>
    <w:pPr>
      <w:spacing w:line="440" w:lineRule="exact"/>
      <w:jc w:val="center"/>
    </w:pPr>
    <w:rPr>
      <w:rFonts w:ascii="黑体" w:hAnsi="黑体" w:eastAsia="黑体"/>
      <w:spacing w:val="60"/>
      <w:sz w:val="44"/>
      <w:szCs w:val="44"/>
    </w:rPr>
  </w:style>
  <w:style w:type="paragraph" w:customStyle="1" w:styleId="11">
    <w:name w:val="4"/>
    <w:basedOn w:val="1"/>
    <w:qFormat/>
    <w:uiPriority w:val="0"/>
    <w:pPr>
      <w:spacing w:before="156" w:beforeLines="50" w:line="440" w:lineRule="exact"/>
      <w:jc w:val="distribute"/>
    </w:pPr>
    <w:rPr>
      <w:rFonts w:ascii="Arial" w:hAnsi="Arial" w:eastAsia="黑体" w:cs="Arial"/>
      <w:sz w:val="24"/>
    </w:rPr>
  </w:style>
  <w:style w:type="paragraph" w:styleId="12">
    <w:name w:val="List Paragraph"/>
    <w:basedOn w:val="1"/>
    <w:qFormat/>
    <w:uiPriority w:val="1"/>
    <w:pPr>
      <w:ind w:left="1319" w:hanging="369"/>
    </w:pPr>
    <w:rPr>
      <w:rFonts w:ascii="宋体" w:hAnsi="宋体" w:eastAsia="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2020-09-21T10:03:00Z</dcterms:created>
  <dc:creator>兰倩</dc:creator>
  <cp:lastModifiedBy>兰倩</cp:lastModifiedBy>
  <dcterms:modified xsi:type="dcterms:W3CDTF">2020-09-22T07:56:39Z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