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auto"/>
        <w:ind w:left="0"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kern w:val="2"/>
          <w:sz w:val="44"/>
          <w:szCs w:val="44"/>
          <w:lang w:val="en-US" w:eastAsia="zh-CN" w:bidi="ar"/>
        </w:rPr>
        <w:t>西藏自治区地方标准化项目经费预算表</w:t>
      </w:r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00" w:lineRule="auto"/>
        <w:ind w:left="0" w:right="0" w:firstLine="400" w:firstLineChars="200"/>
        <w:jc w:val="both"/>
        <w:rPr>
          <w:sz w:val="20"/>
          <w:szCs w:val="20"/>
          <w:lang w:val="en-US"/>
        </w:rPr>
      </w:pPr>
      <w:r>
        <w:rPr>
          <w:rFonts w:hint="eastAsia" w:ascii="Times New Roman" w:hAnsi="Times New Roman" w:eastAsia="宋体" w:cs="宋体"/>
          <w:kern w:val="2"/>
          <w:sz w:val="20"/>
          <w:szCs w:val="20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 xml:space="preserve">                                     </w:t>
      </w:r>
      <w:r>
        <w:rPr>
          <w:rFonts w:hint="eastAsia" w:ascii="Times New Roman" w:hAnsi="Times New Roman" w:eastAsia="宋体" w:cs="宋体"/>
          <w:kern w:val="2"/>
          <w:sz w:val="20"/>
          <w:szCs w:val="20"/>
          <w:lang w:val="en-US" w:eastAsia="zh-CN" w:bidi="ar"/>
        </w:rPr>
        <w:t>金额单位：</w:t>
      </w:r>
      <w:r>
        <w:rPr>
          <w:rFonts w:hint="default" w:ascii="Times New Roman" w:hAnsi="Times New Roman" w:eastAsia="宋体" w:cs="Times New Roman"/>
          <w:kern w:val="2"/>
          <w:sz w:val="20"/>
          <w:szCs w:val="20"/>
          <w:lang w:val="en-US" w:eastAsia="zh-CN" w:bidi="ar"/>
        </w:rPr>
        <w:t xml:space="preserve"> </w:t>
      </w:r>
    </w:p>
    <w:tbl>
      <w:tblPr>
        <w:tblStyle w:val="4"/>
        <w:tblW w:w="900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8"/>
        <w:gridCol w:w="1147"/>
        <w:gridCol w:w="1967"/>
        <w:gridCol w:w="900"/>
        <w:gridCol w:w="900"/>
        <w:gridCol w:w="537"/>
        <w:gridCol w:w="1083"/>
        <w:gridCol w:w="362"/>
        <w:gridCol w:w="1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b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b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预算科目名称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b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b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专项经费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b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自筹经费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b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b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b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b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b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方正仿宋简体" w:hAnsi="Times New Roman" w:eastAsia="方正仿宋简体" w:cs="宋体"/>
                <w:b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一、经费支出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、设备费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）购置设备费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）试制设备费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）设备改造与租赁费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、材料费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、样品采集及测试化验加工费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、燃料动力费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、差旅费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、会议费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、国际合作与交流费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、出版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文献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信息传播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知识产权事务费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、劳务费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、专家咨询费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、管理费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、培训费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、……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二、经费来源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、申请从专项经费获得的资助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方正仿宋简体" w:hAnsi="等线" w:eastAsia="方正仿宋简体" w:cs="方正仿宋简体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、自筹经费来源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）其他财政拨款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）单位自有货币资金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608" w:right="0" w:hanging="608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）其他资金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1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专项经费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拨付进度申请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第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第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第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第</w:t>
            </w: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1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1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宋体"/>
                <w:kern w:val="2"/>
                <w:sz w:val="24"/>
                <w:szCs w:val="24"/>
                <w:lang w:val="en-US" w:eastAsia="zh-CN" w:bidi="ar"/>
              </w:rPr>
              <w:t>比例（％）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Times New Roman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Times New Roman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 w:bidi="ar"/>
        </w:rPr>
        <w:br w:type="page"/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4" w:leftChars="2" w:right="0"/>
              <w:jc w:val="center"/>
              <w:rPr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32"/>
                <w:szCs w:val="32"/>
                <w:lang w:val="en-US" w:eastAsia="zh-CN" w:bidi="ar"/>
              </w:rPr>
              <w:t>支出预算明细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3" w:hRule="atLeast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40" w:lineRule="exact"/>
              <w:ind w:right="0"/>
              <w:jc w:val="both"/>
              <w:rPr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1"/>
                <w:szCs w:val="24"/>
                <w:lang w:val="en-US" w:eastAsia="zh-CN" w:bidi="ar"/>
              </w:rPr>
              <w:t>各项支出的主要用途及详细测算理由说明如下：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40" w:lineRule="exact"/>
              <w:ind w:left="0" w:right="0" w:firstLine="420" w:firstLineChars="200"/>
              <w:jc w:val="both"/>
              <w:rPr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r>
        <w:rPr>
          <w:rFonts w:hint="default" w:ascii="Times New Roman" w:hAnsi="Times New Roman" w:eastAsia="宋体" w:cs="Times New Roman"/>
          <w:sz w:val="21"/>
          <w:szCs w:val="24"/>
          <w:lang w:val="en-US" w:eastAsia="zh-CN"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60700"/>
    <w:rsid w:val="6BB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2020-12-04T04:43:00Z</dcterms:created>
  <dc:creator>测试01</dc:creator>
  <cp:lastModifiedBy>测试01</cp:lastModifiedBy>
  <dcterms:modified xsi:type="dcterms:W3CDTF">2020-12-04T04:43:48Z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